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2A4857">
        <w:rPr>
          <w:rFonts w:ascii="Arial" w:hAnsi="Arial" w:cs="Arial"/>
          <w:b/>
          <w:sz w:val="30"/>
          <w:szCs w:val="30"/>
          <w:u w:val="single"/>
        </w:rPr>
        <w:t>31</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bookmarkStart w:id="0" w:name="_GoBack"/>
      <w:bookmarkEnd w:id="0"/>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2A4857">
        <w:rPr>
          <w:rFonts w:ascii="Arial" w:hAnsi="Arial" w:cs="Arial"/>
          <w:b/>
          <w:sz w:val="24"/>
        </w:rPr>
        <w:t xml:space="preserve"> GUSTAVO FELIX MARÇON</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2A4857">
        <w:rPr>
          <w:rFonts w:ascii="Arial" w:hAnsi="Arial" w:cs="Arial"/>
        </w:rPr>
        <w:t>20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2A4857" w:rsidP="00A20ADB">
      <w:pPr>
        <w:pStyle w:val="Ttulo2"/>
        <w:ind w:left="-284"/>
        <w:jc w:val="center"/>
        <w:rPr>
          <w:rFonts w:ascii="Arial" w:hAnsi="Arial" w:cs="Arial"/>
          <w:i w:val="0"/>
          <w:szCs w:val="24"/>
        </w:rPr>
      </w:pPr>
      <w:r>
        <w:rPr>
          <w:rFonts w:ascii="Arial" w:hAnsi="Arial" w:cs="Arial"/>
          <w:i w:val="0"/>
          <w:szCs w:val="24"/>
        </w:rPr>
        <w:t>SANDRO ROBERTO ALPONTE</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4F" w:rsidRDefault="0060794F">
      <w:r>
        <w:separator/>
      </w:r>
    </w:p>
  </w:endnote>
  <w:endnote w:type="continuationSeparator" w:id="0">
    <w:p w:rsidR="0060794F" w:rsidRDefault="0060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4F" w:rsidRDefault="0060794F">
      <w:r>
        <w:separator/>
      </w:r>
    </w:p>
  </w:footnote>
  <w:footnote w:type="continuationSeparator" w:id="0">
    <w:p w:rsidR="0060794F" w:rsidRDefault="0060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79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794F"/>
  <w:p w:rsidR="005861A7" w:rsidRDefault="0060794F">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79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2A4857"/>
    <w:rsid w:val="005861A7"/>
    <w:rsid w:val="0060794F"/>
    <w:rsid w:val="00A20AD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675</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2017-02-20T12:59:00Z</cp:lastPrinted>
  <dcterms:created xsi:type="dcterms:W3CDTF">2017-02-10T12:25:00Z</dcterms:created>
  <dcterms:modified xsi:type="dcterms:W3CDTF">2017-02-20T12:59:00Z</dcterms:modified>
</cp:coreProperties>
</file>