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BC11" w14:textId="6ADFFD03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jc w:val="center"/>
        <w:rPr>
          <w:rFonts w:ascii="Tahoma" w:hAnsi="Tahoma" w:cs="Tahoma"/>
          <w:b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color w:val="auto"/>
          <w:sz w:val="24"/>
          <w:szCs w:val="24"/>
          <w:lang w:val="pt-BR"/>
        </w:rPr>
        <w:t>PROJETO DE LEI COMPLEMENTAR</w:t>
      </w:r>
      <w:r>
        <w:rPr>
          <w:rFonts w:ascii="Tahoma" w:hAnsi="Tahoma" w:cs="Tahoma"/>
          <w:b/>
          <w:color w:val="auto"/>
          <w:sz w:val="24"/>
          <w:szCs w:val="24"/>
          <w:lang w:val="pt-BR"/>
        </w:rPr>
        <w:t xml:space="preserve"> Nº </w:t>
      </w:r>
      <w:r w:rsidR="00F71277">
        <w:rPr>
          <w:rFonts w:ascii="Tahoma" w:hAnsi="Tahoma" w:cs="Tahoma"/>
          <w:b/>
          <w:color w:val="auto"/>
          <w:sz w:val="24"/>
          <w:szCs w:val="24"/>
          <w:lang w:val="pt-BR"/>
        </w:rPr>
        <w:t>3</w:t>
      </w:r>
      <w:r>
        <w:rPr>
          <w:rFonts w:ascii="Tahoma" w:hAnsi="Tahoma" w:cs="Tahoma"/>
          <w:b/>
          <w:color w:val="auto"/>
          <w:sz w:val="24"/>
          <w:szCs w:val="24"/>
          <w:lang w:val="pt-BR"/>
        </w:rPr>
        <w:t>/2024.</w:t>
      </w:r>
    </w:p>
    <w:p w14:paraId="2E8844C6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4248"/>
        <w:rPr>
          <w:rFonts w:ascii="Tahoma" w:hAnsi="Tahoma" w:cs="Tahoma"/>
          <w:strike/>
          <w:color w:val="auto"/>
          <w:sz w:val="24"/>
          <w:szCs w:val="24"/>
          <w:lang w:val="pt-BR"/>
        </w:rPr>
      </w:pPr>
    </w:p>
    <w:p w14:paraId="3CC3393F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4248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color w:val="auto"/>
          <w:sz w:val="24"/>
          <w:szCs w:val="24"/>
          <w:lang w:val="pt-BR"/>
        </w:rPr>
        <w:t>Altera a Lei Complementar nº 157, de 12 de setembro de 2019 e dá outras providências.</w:t>
      </w:r>
    </w:p>
    <w:p w14:paraId="4A9F480A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5B9B7B67" w14:textId="18C84C49" w:rsidR="003C5759" w:rsidRPr="003C5759" w:rsidRDefault="003C5759" w:rsidP="003C5759">
      <w:pPr>
        <w:spacing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b/>
          <w:bCs/>
          <w:sz w:val="24"/>
          <w:szCs w:val="24"/>
        </w:rPr>
        <w:t>Art. 1º</w:t>
      </w:r>
      <w:r w:rsidRPr="003C5759">
        <w:rPr>
          <w:rFonts w:ascii="Tahoma" w:hAnsi="Tahoma" w:cs="Tahoma"/>
          <w:sz w:val="24"/>
          <w:szCs w:val="24"/>
        </w:rPr>
        <w:t xml:space="preserve"> Esta Lei altera a Lei Complementar nº 157, de 12 de setembro de 2019, que dispõe sobre o plano de carreiras e salário dos servidores do Serviço Autônomo de Água e Esgoto de Barra Bonita, institui as tabelas salariais e fixa as normas para a avaliação anual do desempenho funcional, que passam a obedecer as diretrizes básicas fixadas e dá outras providências.</w:t>
      </w:r>
    </w:p>
    <w:p w14:paraId="76D9FB1A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238308BC" w14:textId="04785E5A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2º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O inciso IV do art. 2º da Lei Complementar nº 157, de 12 de setembro de 2019, passa a vigorar com a seguinte redação: </w:t>
      </w:r>
    </w:p>
    <w:p w14:paraId="74F2EA89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261C8C99" w14:textId="6B519715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color w:val="auto"/>
          <w:sz w:val="24"/>
          <w:szCs w:val="24"/>
          <w:lang w:val="pt-BR"/>
        </w:rPr>
        <w:t>“Art. 2º.</w:t>
      </w:r>
      <w:r w:rsidR="00C53FB6">
        <w:rPr>
          <w:rFonts w:ascii="Tahoma" w:hAnsi="Tahoma" w:cs="Tahoma"/>
          <w:color w:val="auto"/>
          <w:sz w:val="24"/>
          <w:szCs w:val="24"/>
          <w:lang w:val="pt-BR"/>
        </w:rPr>
        <w:t>.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>............................................................................</w:t>
      </w:r>
    </w:p>
    <w:p w14:paraId="10CBF15D" w14:textId="77777777" w:rsid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304A82C1" w14:textId="1D6041E0" w:rsid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(...)</w:t>
      </w:r>
    </w:p>
    <w:p w14:paraId="7A3C7267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3586F04B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IV – emprego de provimento em comissão é o conjunto de tarefas, atribuições e encargos de direção, chefia e assessoramento, de livre nomeação e exoneração ou de nomeação restrita para contratados para empregos permanentes e de livre exoneração, criados pelas Leis Complementares nº 136, de 3 de novembro de 2016 e nº 170, de 7 de março de 2022;” </w:t>
      </w:r>
    </w:p>
    <w:p w14:paraId="14BD4058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3B5A344E" w14:textId="2F5F765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3º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A Lei Complementar nº 157, de 12 de setembro de 2019, passa a vigorar com acrescida do seguinte Capítulo II-A: </w:t>
      </w:r>
    </w:p>
    <w:p w14:paraId="0E9560FE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13B69CC9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“CAPÍTULO II-A</w:t>
      </w:r>
    </w:p>
    <w:p w14:paraId="183FF462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</w:p>
    <w:p w14:paraId="5FA97A73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DA JORNADA DE TRABALHO</w:t>
      </w:r>
    </w:p>
    <w:p w14:paraId="53A1C9D5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</w:p>
    <w:p w14:paraId="03CB66CC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Seção I</w:t>
      </w:r>
    </w:p>
    <w:p w14:paraId="31B7DB61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</w:p>
    <w:p w14:paraId="2D334B7F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Das Disposições Gerais</w:t>
      </w:r>
    </w:p>
    <w:p w14:paraId="23E40122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</w:p>
    <w:p w14:paraId="7D0C3F74" w14:textId="77777777" w:rsid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 xml:space="preserve">Art. 53-A. A jornada e a duração do trabalho serão regidas pelo disposto nos arts. 58 a 64, arts. 66 a 71 e art. 73 do Decreto-Lei nº 5.452, de 1º de maio de 1943 – Consolidação das Leis do Trabalho e neste Capítulo. </w:t>
      </w:r>
    </w:p>
    <w:p w14:paraId="2E7CD4ED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</w:p>
    <w:p w14:paraId="59EB37A1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bCs/>
          <w:color w:val="auto"/>
        </w:rPr>
        <w:t xml:space="preserve">Art. 53-B. </w:t>
      </w:r>
      <w:r w:rsidRPr="003C5759">
        <w:rPr>
          <w:rFonts w:ascii="Tahoma" w:hAnsi="Tahoma" w:cs="Tahoma"/>
          <w:color w:val="auto"/>
        </w:rPr>
        <w:t xml:space="preserve">Os servidores cumprirão jornada de trabalho de acordo com a carga horária estabelecida no Anexo VIII, em razão das atribuições dos empregos, respeitada a duração </w:t>
      </w:r>
      <w:r w:rsidRPr="003C5759">
        <w:rPr>
          <w:rFonts w:ascii="Tahoma" w:hAnsi="Tahoma" w:cs="Tahoma"/>
          <w:color w:val="auto"/>
        </w:rPr>
        <w:lastRenderedPageBreak/>
        <w:t>máxima do trabalho semanal de quarenta e quatro horas e observado o limite máximo de oito horas diárias.</w:t>
      </w:r>
    </w:p>
    <w:p w14:paraId="2FC20A4F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14:paraId="421244FA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bCs/>
          <w:color w:val="auto"/>
        </w:rPr>
        <w:t xml:space="preserve">§ 1º </w:t>
      </w:r>
      <w:r w:rsidRPr="003C5759">
        <w:rPr>
          <w:rFonts w:ascii="Tahoma" w:hAnsi="Tahoma" w:cs="Tahoma"/>
          <w:color w:val="auto"/>
        </w:rPr>
        <w:t xml:space="preserve">Para efeito de cálculo da carga horária, serão consideradas: </w:t>
      </w:r>
    </w:p>
    <w:p w14:paraId="51ED0136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14:paraId="0C545F05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bCs/>
          <w:color w:val="auto"/>
        </w:rPr>
        <w:t xml:space="preserve">I </w:t>
      </w:r>
      <w:r w:rsidRPr="003C5759">
        <w:rPr>
          <w:rFonts w:ascii="Tahoma" w:hAnsi="Tahoma" w:cs="Tahoma"/>
          <w:color w:val="auto"/>
        </w:rPr>
        <w:t xml:space="preserve">- a jornada de trabalho de vinte horas semanais, compreendendo uma jornada mensal de cem horas; </w:t>
      </w:r>
    </w:p>
    <w:p w14:paraId="1BCDF399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14:paraId="4706F193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bCs/>
          <w:color w:val="auto"/>
        </w:rPr>
        <w:t xml:space="preserve">II </w:t>
      </w:r>
      <w:r w:rsidRPr="003C5759">
        <w:rPr>
          <w:rFonts w:ascii="Tahoma" w:hAnsi="Tahoma" w:cs="Tahoma"/>
          <w:color w:val="auto"/>
        </w:rPr>
        <w:t xml:space="preserve">- a jornada de trabalho de trinta horas semanais, compreendendo uma jornada mensal de cento e cinquenta horas; </w:t>
      </w:r>
    </w:p>
    <w:p w14:paraId="706E68B2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bCs/>
          <w:color w:val="auto"/>
        </w:rPr>
      </w:pPr>
    </w:p>
    <w:p w14:paraId="56B35BC4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bCs/>
          <w:color w:val="auto"/>
        </w:rPr>
        <w:t xml:space="preserve">III </w:t>
      </w:r>
      <w:r w:rsidRPr="003C5759">
        <w:rPr>
          <w:rFonts w:ascii="Tahoma" w:hAnsi="Tahoma" w:cs="Tahoma"/>
          <w:color w:val="auto"/>
        </w:rPr>
        <w:t xml:space="preserve">- a jornada de quarenta horas semanais, compreendendo uma jornada mensal de duzentas horas; </w:t>
      </w:r>
    </w:p>
    <w:p w14:paraId="39D445A5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1F80A3CF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 xml:space="preserve">IV – a jornada de quarenta e quatro horas semanais, compreendendo uma jornada mensal de duzentas e vinte horas. </w:t>
      </w:r>
    </w:p>
    <w:p w14:paraId="25190003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4B223553" w14:textId="7C4BC1AA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 xml:space="preserve">§ 2º Respeitada a carga horária estabelecida no Anexo VIII, o servidor contratado para emprego público permanente poderá ter seu horário de trabalho fixado através de escalas de trabalho, de tarefas e de sobreaviso. </w:t>
      </w:r>
    </w:p>
    <w:p w14:paraId="7A64A0DE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017C5E30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 xml:space="preserve">Art. 53-C. O servidor perderá: </w:t>
      </w:r>
    </w:p>
    <w:p w14:paraId="1B35FC88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01259D84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 xml:space="preserve">I – a remuneração dos dias que não comparecer ao trabalho, exceto nas hipóteses previstas no art. 473 do Decreto-Lei nº 5.452, de 1º de maio de 1943 – Consolidação das Leis do Trabalho; </w:t>
      </w:r>
    </w:p>
    <w:p w14:paraId="1B188119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161D5764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 xml:space="preserve">II – a parcela da remuneração diária proporcional aos atrasos, ausências e saídas antecipadas, iguais ou superiores a sessenta minutos, exceto em caso de justificativa comprovada vinculada a situações de força maior ou caso fortuito; </w:t>
      </w:r>
    </w:p>
    <w:p w14:paraId="7EAE609B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</w:p>
    <w:p w14:paraId="02BD0CE1" w14:textId="77777777" w:rsidR="003C5759" w:rsidRPr="003C5759" w:rsidRDefault="003C5759" w:rsidP="003C5759">
      <w:pPr>
        <w:pStyle w:val="Default"/>
        <w:spacing w:line="300" w:lineRule="exact"/>
        <w:ind w:left="1985"/>
        <w:jc w:val="both"/>
        <w:rPr>
          <w:rFonts w:ascii="Tahoma" w:hAnsi="Tahoma" w:cs="Tahoma"/>
          <w:color w:val="auto"/>
        </w:rPr>
      </w:pPr>
      <w:r w:rsidRPr="003C5759">
        <w:rPr>
          <w:rFonts w:ascii="Tahoma" w:hAnsi="Tahoma" w:cs="Tahoma"/>
          <w:color w:val="auto"/>
        </w:rPr>
        <w:t>III – a remuneração em caso de nomeação para emprego de provimento em comissão ou exercício de mandato eletivo federal, estadual ou municipal ressalvada a possibilidade de opção.</w:t>
      </w:r>
    </w:p>
    <w:p w14:paraId="29A3BCE0" w14:textId="77777777" w:rsidR="003C5759" w:rsidRPr="003C5759" w:rsidRDefault="003C5759" w:rsidP="003C5759">
      <w:pPr>
        <w:autoSpaceDE w:val="0"/>
        <w:autoSpaceDN w:val="0"/>
        <w:adjustRightInd w:val="0"/>
        <w:spacing w:line="300" w:lineRule="exact"/>
        <w:ind w:left="1985"/>
        <w:jc w:val="both"/>
        <w:rPr>
          <w:rFonts w:ascii="Tahoma" w:eastAsia="Calibri" w:hAnsi="Tahoma" w:cs="Tahoma"/>
          <w:bCs/>
          <w:sz w:val="24"/>
          <w:szCs w:val="24"/>
        </w:rPr>
      </w:pPr>
    </w:p>
    <w:p w14:paraId="0991AC81" w14:textId="77777777" w:rsidR="003C5759" w:rsidRPr="003C5759" w:rsidRDefault="003C5759" w:rsidP="003C5759">
      <w:pPr>
        <w:autoSpaceDE w:val="0"/>
        <w:autoSpaceDN w:val="0"/>
        <w:adjustRightInd w:val="0"/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</w:rPr>
      </w:pPr>
      <w:r w:rsidRPr="003C5759">
        <w:rPr>
          <w:rFonts w:ascii="Tahoma" w:eastAsia="Calibri" w:hAnsi="Tahoma" w:cs="Tahoma"/>
          <w:bCs/>
          <w:sz w:val="24"/>
          <w:szCs w:val="24"/>
        </w:rPr>
        <w:t xml:space="preserve">§ 1º </w:t>
      </w:r>
      <w:r w:rsidRPr="003C5759">
        <w:rPr>
          <w:rFonts w:ascii="Tahoma" w:eastAsia="Calibri" w:hAnsi="Tahoma" w:cs="Tahoma"/>
          <w:sz w:val="24"/>
          <w:szCs w:val="24"/>
        </w:rPr>
        <w:t>Havendo faltas sucessivas, os finais de semana, feriados, feriados intercalados e os dias de ponto facultativo serão computados como ausência.</w:t>
      </w:r>
    </w:p>
    <w:p w14:paraId="34939426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bCs/>
          <w:sz w:val="24"/>
          <w:szCs w:val="24"/>
        </w:rPr>
      </w:pPr>
    </w:p>
    <w:p w14:paraId="1CA753FE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eastAsia="Calibri" w:hAnsi="Tahoma" w:cs="Tahoma"/>
          <w:bCs/>
          <w:sz w:val="24"/>
          <w:szCs w:val="24"/>
        </w:rPr>
        <w:lastRenderedPageBreak/>
        <w:t xml:space="preserve">§ 2º </w:t>
      </w:r>
      <w:r w:rsidRPr="003C5759">
        <w:rPr>
          <w:rFonts w:ascii="Tahoma" w:eastAsia="Calibri" w:hAnsi="Tahoma" w:cs="Tahoma"/>
          <w:sz w:val="24"/>
          <w:szCs w:val="24"/>
        </w:rPr>
        <w:t>Não se aplica o disposto neste artigo</w:t>
      </w:r>
      <w:r w:rsidRPr="003C5759">
        <w:rPr>
          <w:rFonts w:ascii="Tahoma" w:hAnsi="Tahoma" w:cs="Tahoma"/>
          <w:sz w:val="24"/>
          <w:szCs w:val="24"/>
        </w:rPr>
        <w:t xml:space="preserve"> ao servidor eleito para o mandato</w:t>
      </w:r>
      <w:r w:rsidRPr="003C5759">
        <w:rPr>
          <w:rFonts w:ascii="Tahoma" w:eastAsia="Calibri" w:hAnsi="Tahoma" w:cs="Tahoma"/>
          <w:sz w:val="24"/>
          <w:szCs w:val="24"/>
        </w:rPr>
        <w:t xml:space="preserve"> de Vereador e que houver compatibilidade de horário</w:t>
      </w:r>
      <w:r w:rsidRPr="003C5759">
        <w:rPr>
          <w:rFonts w:ascii="Tahoma" w:hAnsi="Tahoma" w:cs="Tahoma"/>
          <w:sz w:val="24"/>
          <w:szCs w:val="24"/>
        </w:rPr>
        <w:t xml:space="preserve">s, observada a legislação específica em missão oficial do Poder Legislativo. </w:t>
      </w:r>
    </w:p>
    <w:p w14:paraId="5A4DF71C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</w:p>
    <w:p w14:paraId="7C0DE414" w14:textId="77777777" w:rsid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Seção II</w:t>
      </w:r>
    </w:p>
    <w:p w14:paraId="39F09A90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</w:p>
    <w:p w14:paraId="3BF3DD95" w14:textId="77777777" w:rsidR="003C5759" w:rsidRPr="003C5759" w:rsidRDefault="003C5759" w:rsidP="003C5759">
      <w:pPr>
        <w:spacing w:line="300" w:lineRule="exact"/>
        <w:ind w:left="1985"/>
        <w:jc w:val="center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Da compensação de horários, das escalas de trabalho e do sobreaviso</w:t>
      </w:r>
    </w:p>
    <w:p w14:paraId="158882F6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</w:p>
    <w:p w14:paraId="3114C513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eastAsia="Calibri" w:hAnsi="Tahoma" w:cs="Tahoma"/>
          <w:bCs/>
          <w:sz w:val="24"/>
          <w:szCs w:val="24"/>
        </w:rPr>
        <w:t xml:space="preserve">Art. </w:t>
      </w:r>
      <w:r w:rsidRPr="003C5759">
        <w:rPr>
          <w:rFonts w:ascii="Tahoma" w:hAnsi="Tahoma" w:cs="Tahoma"/>
          <w:bCs/>
          <w:sz w:val="24"/>
          <w:szCs w:val="24"/>
        </w:rPr>
        <w:t>53-D.</w:t>
      </w:r>
      <w:r w:rsidRPr="003C5759">
        <w:rPr>
          <w:rFonts w:ascii="Tahoma" w:eastAsia="Calibri" w:hAnsi="Tahoma" w:cs="Tahoma"/>
          <w:sz w:val="24"/>
          <w:szCs w:val="24"/>
        </w:rPr>
        <w:t xml:space="preserve"> Os horários de trabalho dos servidores </w:t>
      </w:r>
      <w:r w:rsidRPr="003C5759">
        <w:rPr>
          <w:rFonts w:ascii="Tahoma" w:hAnsi="Tahoma" w:cs="Tahoma"/>
          <w:sz w:val="24"/>
          <w:szCs w:val="24"/>
        </w:rPr>
        <w:t>serão fixados pelo</w:t>
      </w:r>
      <w:r w:rsidRPr="003C5759">
        <w:rPr>
          <w:rFonts w:ascii="Tahoma" w:eastAsia="Calibri" w:hAnsi="Tahoma" w:cs="Tahoma"/>
          <w:sz w:val="24"/>
          <w:szCs w:val="24"/>
        </w:rPr>
        <w:t xml:space="preserve"> </w:t>
      </w:r>
      <w:r w:rsidRPr="003C5759">
        <w:rPr>
          <w:rFonts w:ascii="Tahoma" w:hAnsi="Tahoma" w:cs="Tahoma"/>
          <w:sz w:val="24"/>
          <w:szCs w:val="24"/>
        </w:rPr>
        <w:t>Superintendente do Serviço Autônomo de Água e Esgoto de Barra Bonita.</w:t>
      </w:r>
    </w:p>
    <w:p w14:paraId="04D93C1A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</w:p>
    <w:p w14:paraId="1CE36EE4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§ 1</w:t>
      </w:r>
      <w:r w:rsidRPr="003C5759">
        <w:rPr>
          <w:rFonts w:ascii="Tahoma" w:eastAsia="Calibri" w:hAnsi="Tahoma" w:cs="Tahoma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  Poderá o excesso de horas em um dia ser compensado pela correspondente diminuição em outro dia, em sistema de banco de horas, desde que não exceda no período de um ano, à soma das jornadas semanais de trabalho previstas e não seja ultrapassado o limite máximo de doze horas diárias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 xml:space="preserve">, observado o § 2º do art. 59 do </w:t>
      </w:r>
      <w:r w:rsidRPr="003C5759">
        <w:rPr>
          <w:rFonts w:ascii="Tahoma" w:hAnsi="Tahoma" w:cs="Tahoma"/>
          <w:sz w:val="24"/>
          <w:szCs w:val="24"/>
        </w:rPr>
        <w:t>Decreto-Lei nº 5.452, de 1º de maio de 1943 – Consolidação das Leis do Trabalho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.</w:t>
      </w:r>
    </w:p>
    <w:p w14:paraId="5C21D234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</w:p>
    <w:p w14:paraId="188A09A2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§ 2º O sistema de banco de horas previsto no § 1</w:t>
      </w:r>
      <w:r w:rsidRPr="003C5759">
        <w:rPr>
          <w:rFonts w:ascii="Tahoma" w:eastAsia="Calibri" w:hAnsi="Tahoma" w:cs="Tahoma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> s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erá disciplinado p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>or Portaria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 do Superintendente do Serviço Autônomo de Água e Esgoto de Barra Bonita e a compensação das horas excedentes deverá ocorrer dentro do ano em que foram realizadas. </w:t>
      </w:r>
    </w:p>
    <w:p w14:paraId="02A03F2E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</w:p>
    <w:p w14:paraId="58A48B72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§ 3º Em qualquer hipótese de desligamento do servidor sem que tenha havido a compensação integral das horas inseridas no sistema de banco de horas, o servidor terá direito ao pagamento das 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 xml:space="preserve">horas 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não compensadas, calculadas com o valor 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 xml:space="preserve">da remuneração 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na data do desligamento.</w:t>
      </w:r>
    </w:p>
    <w:p w14:paraId="3B86760C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</w:p>
    <w:p w14:paraId="306B8ED7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§ 4</w:t>
      </w:r>
      <w:r w:rsidRPr="003C5759">
        <w:rPr>
          <w:rFonts w:ascii="Tahoma" w:eastAsia="Calibri" w:hAnsi="Tahoma" w:cs="Tahoma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 Havendo acordo escrito entre o servidor e seu superior hierárquico imediato autorizado pelo </w:t>
      </w:r>
      <w:r w:rsidRPr="003C5759">
        <w:rPr>
          <w:rFonts w:ascii="Tahoma" w:hAnsi="Tahoma" w:cs="Tahoma"/>
          <w:sz w:val="24"/>
          <w:szCs w:val="24"/>
          <w:shd w:val="clear" w:color="auto" w:fill="FFFFFF"/>
        </w:rPr>
        <w:t>Diretor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 da área, poderá ser realizada a compensação das horas excedentes em outro dia no mesmo mês, observado o limite da jornada diária de trabalho estabelecida.  </w:t>
      </w:r>
    </w:p>
    <w:p w14:paraId="295397D6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sz w:val="24"/>
          <w:szCs w:val="24"/>
          <w:shd w:val="clear" w:color="auto" w:fill="FFFFFF"/>
        </w:rPr>
      </w:pPr>
    </w:p>
    <w:p w14:paraId="06F4BC65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eastAsia="Calibri" w:hAnsi="Tahoma" w:cs="Tahoma"/>
          <w:i/>
          <w:sz w:val="24"/>
          <w:szCs w:val="24"/>
          <w:shd w:val="clear" w:color="auto" w:fill="FFFFFF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§ 5º Demonstrada imperiosa necessidade do serviço, poderá ser estabelecida escala de trabalho de doze horas seguidas por trinta e seis horas ininterruptas de descanso, observados ou indenizados os intervalos para repouso e alimentação que não poderão ser inferiores ao período de uma hora. </w:t>
      </w:r>
      <w:bookmarkStart w:id="0" w:name="art59ap"/>
      <w:bookmarkEnd w:id="0"/>
    </w:p>
    <w:p w14:paraId="75EC2563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14:paraId="7F6337BA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 w:rsidRPr="003C5759">
        <w:rPr>
          <w:rFonts w:ascii="Tahoma" w:eastAsia="Calibri" w:hAnsi="Tahoma" w:cs="Tahoma"/>
          <w:shd w:val="clear" w:color="auto" w:fill="FFFFFF"/>
        </w:rPr>
        <w:lastRenderedPageBreak/>
        <w:t>§ 6º O servidor enquadrado na escala prevista no § 5º não poderá realizar trabalho extraordinário nos seus períodos de descanso e os descansos semanais e feriados serão considerados compensados, sendo indevida gratificação ou adicional.</w:t>
      </w:r>
      <w:r w:rsidRPr="003C5759">
        <w:rPr>
          <w:rFonts w:ascii="Tahoma" w:hAnsi="Tahoma" w:cs="Tahoma"/>
        </w:rPr>
        <w:t> </w:t>
      </w:r>
    </w:p>
    <w:p w14:paraId="1C5DE903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14:paraId="59C0D71A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 w:rsidRPr="003C5759">
        <w:rPr>
          <w:rFonts w:ascii="Tahoma" w:eastAsia="Calibri" w:hAnsi="Tahoma" w:cs="Tahoma"/>
          <w:shd w:val="clear" w:color="auto" w:fill="FFFFFF"/>
        </w:rPr>
        <w:t>§ 7º A bem do serviço, poderão ser instituídas escalas de sobreaviso para a realização de serviços imprevistos e inadiáveis.</w:t>
      </w:r>
    </w:p>
    <w:p w14:paraId="5608F76E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14:paraId="310921E3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  <w:r w:rsidRPr="003C5759">
        <w:rPr>
          <w:rFonts w:ascii="Tahoma" w:eastAsia="Calibri" w:hAnsi="Tahoma" w:cs="Tahoma"/>
          <w:shd w:val="clear" w:color="auto" w:fill="FFFFFF"/>
        </w:rPr>
        <w:t xml:space="preserve">§ 8º </w:t>
      </w:r>
      <w:r w:rsidRPr="003C5759">
        <w:rPr>
          <w:rFonts w:ascii="Tahoma" w:hAnsi="Tahoma" w:cs="Tahoma"/>
        </w:rPr>
        <w:t>Considera-se de sobreaviso, o servidor que permanecer aguardando, a qualquer momento, chamado para o serviço, sendo que cada escala de sobreaviso será de, no máximo, vinte e quatro horas e as horas, para todos os efeitos, serão remuneradas à razão de um terço do salário-hora normal.</w:t>
      </w:r>
    </w:p>
    <w:p w14:paraId="4665BCA8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</w:p>
    <w:p w14:paraId="480365E7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  <w:r w:rsidRPr="003C5759">
        <w:rPr>
          <w:rFonts w:ascii="Tahoma" w:hAnsi="Tahoma" w:cs="Tahoma"/>
        </w:rPr>
        <w:t>§ 9º Somente serão remuneradas como horas extraordinárias ou compensado em sistema de banco de horas, as horas efetivamente trabalhadas quando da convocação, não sendo o período remunerado como sobreaviso.</w:t>
      </w:r>
    </w:p>
    <w:p w14:paraId="456925D6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hAnsi="Tahoma" w:cs="Tahoma"/>
        </w:rPr>
      </w:pPr>
    </w:p>
    <w:p w14:paraId="6DDD5131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  <w:r w:rsidRPr="003C5759">
        <w:rPr>
          <w:rFonts w:ascii="Tahoma" w:hAnsi="Tahoma" w:cs="Tahoma"/>
        </w:rPr>
        <w:t>§ 10. O superior hierárquico imediato designará o servidor que ficará em escala de sobreaviso, comunicando-o e ao Diretor do Departamento, o</w:t>
      </w:r>
      <w:r w:rsidRPr="003C5759">
        <w:rPr>
          <w:rFonts w:ascii="Tahoma" w:eastAsia="Calibri" w:hAnsi="Tahoma" w:cs="Tahoma"/>
          <w:shd w:val="clear" w:color="auto" w:fill="FFFFFF"/>
        </w:rPr>
        <w:t xml:space="preserve">bservado o limite máximo de sua jornada mensal. </w:t>
      </w:r>
    </w:p>
    <w:p w14:paraId="5E80A575" w14:textId="77777777" w:rsidR="003C5759" w:rsidRPr="003C5759" w:rsidRDefault="003C5759" w:rsidP="003C5759">
      <w:pPr>
        <w:pStyle w:val="texto20"/>
        <w:shd w:val="clear" w:color="auto" w:fill="FFFFFF"/>
        <w:spacing w:before="0" w:beforeAutospacing="0" w:after="0" w:afterAutospacing="0" w:line="300" w:lineRule="exact"/>
        <w:ind w:left="1985"/>
        <w:jc w:val="both"/>
        <w:rPr>
          <w:rFonts w:ascii="Tahoma" w:eastAsia="Calibri" w:hAnsi="Tahoma" w:cs="Tahoma"/>
          <w:shd w:val="clear" w:color="auto" w:fill="FFFFFF"/>
        </w:rPr>
      </w:pPr>
    </w:p>
    <w:p w14:paraId="08585FA3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 xml:space="preserve">§ 11. </w:t>
      </w:r>
      <w:r w:rsidRPr="003C5759">
        <w:rPr>
          <w:rFonts w:ascii="Tahoma" w:hAnsi="Tahoma" w:cs="Tahoma"/>
          <w:sz w:val="24"/>
          <w:szCs w:val="24"/>
        </w:rPr>
        <w:t>Poderão ser elaboradas pelo superior hierárquico imediato escalas de trabalho por tarefas a serem realizadas durante a jornada normal de trabalho do servidor, que serão afixadas no quadro de avisos na sede da autarquia e em suas demais dependências.</w:t>
      </w:r>
    </w:p>
    <w:p w14:paraId="4159936E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</w:p>
    <w:p w14:paraId="2479CB0A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>§ 12. As escalas de trabalho por tarefas compreendem a conclusão das atividades previstas para determinado dia ou período de tempo pré-estabelecido e serão divulgadas anualmente.</w:t>
      </w:r>
      <w:r w:rsidRPr="003C5759">
        <w:rPr>
          <w:rFonts w:ascii="Tahoma" w:eastAsia="Calibri" w:hAnsi="Tahoma" w:cs="Tahoma"/>
          <w:sz w:val="24"/>
          <w:szCs w:val="24"/>
          <w:shd w:val="clear" w:color="auto" w:fill="FFFFFF"/>
        </w:rPr>
        <w:t>”</w:t>
      </w:r>
    </w:p>
    <w:p w14:paraId="6F6EFD92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1002BA0F" w14:textId="3401D721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 xml:space="preserve">Art. </w:t>
      </w:r>
      <w:r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4</w:t>
      </w: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. O § 2º do art. 75 da Lei Complementar nº 157, de 12 de setembro de 2019, passa a vigorar com a seguinte redação: </w:t>
      </w:r>
    </w:p>
    <w:p w14:paraId="53A89A34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13385CE8" w14:textId="7B7CF3F1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color w:val="auto"/>
          <w:sz w:val="24"/>
          <w:szCs w:val="24"/>
          <w:lang w:val="pt-BR"/>
        </w:rPr>
        <w:t>“Art. 75. ............................................................................</w:t>
      </w:r>
    </w:p>
    <w:p w14:paraId="7450F5D0" w14:textId="77777777" w:rsid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3C8217FF" w14:textId="7B809DAF" w:rsid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>
        <w:rPr>
          <w:rFonts w:ascii="Tahoma" w:hAnsi="Tahoma" w:cs="Tahoma"/>
          <w:color w:val="auto"/>
          <w:sz w:val="24"/>
          <w:szCs w:val="24"/>
          <w:lang w:val="pt-BR"/>
        </w:rPr>
        <w:t>(...)</w:t>
      </w:r>
    </w:p>
    <w:p w14:paraId="5751FA3B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60F31BFB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</w:rPr>
      </w:pPr>
      <w:r w:rsidRPr="003C5759">
        <w:rPr>
          <w:rFonts w:ascii="Tahoma" w:hAnsi="Tahoma" w:cs="Tahoma"/>
          <w:color w:val="auto"/>
          <w:sz w:val="24"/>
          <w:szCs w:val="24"/>
        </w:rPr>
        <w:t xml:space="preserve">§ 2º O preenchimento da ficha de avaliação de desempenho, para apuração dos critérios previstos, será realizado pela </w:t>
      </w:r>
      <w:r w:rsidRPr="003C5759">
        <w:rPr>
          <w:rFonts w:ascii="Tahoma" w:hAnsi="Tahoma" w:cs="Tahoma"/>
          <w:color w:val="auto"/>
          <w:sz w:val="24"/>
          <w:szCs w:val="24"/>
        </w:rPr>
        <w:lastRenderedPageBreak/>
        <w:t xml:space="preserve">chefia imediata, podendo ser acompanhada por, ao menos um membro da Comissão de Acompanhamento Anual do Desempenho Funcional.” </w:t>
      </w:r>
    </w:p>
    <w:p w14:paraId="698549EB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14:paraId="39719F21" w14:textId="2F14891F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</w:rPr>
        <w:t>Art. 5º</w:t>
      </w:r>
      <w:r w:rsidRPr="003C5759">
        <w:rPr>
          <w:rFonts w:ascii="Tahoma" w:hAnsi="Tahoma" w:cs="Tahoma"/>
          <w:color w:val="auto"/>
          <w:sz w:val="24"/>
          <w:szCs w:val="24"/>
        </w:rPr>
        <w:t xml:space="preserve"> O caput do art. 102 da 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Lei Complementar nº 157, de 12 de setembro de 2019, passa a vigorar com a seguinte redação: </w:t>
      </w:r>
    </w:p>
    <w:p w14:paraId="56F277E6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14:paraId="2EEE9443" w14:textId="77777777" w:rsidR="003C5759" w:rsidRPr="003C5759" w:rsidRDefault="003C5759" w:rsidP="003C5759">
      <w:pPr>
        <w:spacing w:line="300" w:lineRule="exact"/>
        <w:ind w:left="1985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sz w:val="24"/>
          <w:szCs w:val="24"/>
        </w:rPr>
        <w:t xml:space="preserve">“Art. 102. As funções gratificadas, cujas denominações e percentuais aplicados sobre o padrão A, referência 1 da Tabela Salarial indicada, são as constantes do Anexo IX e os requisitos e atribuições estão descritos no Anexo X.” </w:t>
      </w:r>
    </w:p>
    <w:p w14:paraId="11BAA2CA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</w:rPr>
      </w:pPr>
    </w:p>
    <w:p w14:paraId="4003C7B2" w14:textId="41DD3E55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6º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O art. 104 da Lei Complementar nº 157, de 12 de setembro de 2019, passa a vigorar com a seguinte redação: </w:t>
      </w:r>
    </w:p>
    <w:p w14:paraId="6C10C6DC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5AA9E5E6" w14:textId="5FAD1513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left="1985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“Art. 104. Os empregos de provimento em comissão previstos nas Leis Complementares nº 136, de 3 de novembro de 2016 e nº 170, de 7 de março de 2022 e os servidores estáveis nos termos do art. 19 do Ato das Disposições Constitucionais Transitórias, não são considerados como parte integrante da carreira dos servidores do Serviço Autônomo de Água e Esgoto de Barra Bonita.”  </w:t>
      </w:r>
    </w:p>
    <w:p w14:paraId="42E58BAF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7B2C9E53" w14:textId="760802F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7º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Os Anexos VII – Tabelas Salariais, VIII – Descrição e requisitos de contratação dos empregos públicos permanentes, IX – Quadro de funções gratificadas e X – Descrição e requisitos de designação das funções gratificadas que são parte integrante da Lei Complementar nº 157, de 12 de setembro de 2019, passam a vigorar com as alterações estabelecidas nesta Lei. </w:t>
      </w:r>
    </w:p>
    <w:p w14:paraId="79C2C99D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40BD88CB" w14:textId="2AAF1EBB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8º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Os atuais servidores do Serviço Autônomo de Água e Esgoto de Barra Bonita serão enquadrados nas tabelas salariais estabelecidas por esta Lei, observando o disposto no art. 64 da Lei Complementar nº 157, de 12 de setembro de 2019. </w:t>
      </w:r>
    </w:p>
    <w:p w14:paraId="423597DB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1D0F8AAC" w14:textId="4A323038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Parágrafo único.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Após a publicação desta Lei, a Seção de Recursos Humanos deverá realizar o enquadramento tratado no caput no prazo máximo de quinze dias. </w:t>
      </w:r>
    </w:p>
    <w:p w14:paraId="7847A15A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6F05F4BA" w14:textId="5B55294F" w:rsidR="003C5759" w:rsidRPr="003C5759" w:rsidRDefault="003C5759" w:rsidP="003C5759">
      <w:pPr>
        <w:spacing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3C5759">
        <w:rPr>
          <w:rFonts w:ascii="Tahoma" w:hAnsi="Tahoma" w:cs="Tahoma"/>
          <w:b/>
          <w:bCs/>
          <w:sz w:val="24"/>
          <w:szCs w:val="24"/>
        </w:rPr>
        <w:t>Art. 9º</w:t>
      </w:r>
      <w:r w:rsidRPr="003C5759">
        <w:rPr>
          <w:rFonts w:ascii="Tahoma" w:hAnsi="Tahoma" w:cs="Tahoma"/>
          <w:sz w:val="24"/>
          <w:szCs w:val="24"/>
        </w:rPr>
        <w:t xml:space="preserve"> Os servidores do Serviço Autônomo de Água e Esgoto de Barra Bonita que na data de publicação desta Lei Complementar estão designados para as funções gratificadas constantes do Anexo IX manterão a gratificação calculada no percentual de oitenta por cento aplicados sobre o salário do emprego permanente para o qual foi contratado até a cessação da atual designação.</w:t>
      </w:r>
    </w:p>
    <w:p w14:paraId="528A674D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22A9C5D3" w14:textId="2B7D3F39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lastRenderedPageBreak/>
        <w:t>Art. 10.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O Capítulo II-A – Da jornada de trabalho deverá ser regulamentado através de Portaria do Superintendente do Serviço Autônomo de Água e Esgoto de Barra Bonita. </w:t>
      </w:r>
    </w:p>
    <w:p w14:paraId="6616E2C0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1705DB4F" w14:textId="3B1768DD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</w:rPr>
        <w:t>Art. 11.</w:t>
      </w:r>
      <w:r w:rsidRPr="003C5759">
        <w:rPr>
          <w:rFonts w:ascii="Tahoma" w:hAnsi="Tahoma" w:cs="Tahoma"/>
          <w:color w:val="auto"/>
          <w:sz w:val="24"/>
          <w:szCs w:val="24"/>
        </w:rPr>
        <w:t xml:space="preserve"> </w:t>
      </w:r>
      <w:r w:rsidRPr="003C5759">
        <w:rPr>
          <w:rFonts w:ascii="Tahoma" w:eastAsia="Calibri" w:hAnsi="Tahoma" w:cs="Tahoma"/>
          <w:color w:val="auto"/>
          <w:sz w:val="24"/>
          <w:szCs w:val="24"/>
          <w:lang w:eastAsia="en-US"/>
        </w:rPr>
        <w:t xml:space="preserve">As despesas decorrentes da presente Lei Complementar correrão por conta das dotações orçamentárias vigentes, suplementadas se necessário. </w:t>
      </w:r>
    </w:p>
    <w:p w14:paraId="56BB2D54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65C6E23B" w14:textId="0F31062B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12.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Esta Lei Complementar entra em vigor na data de sua publicação. </w:t>
      </w:r>
    </w:p>
    <w:p w14:paraId="19E1CECC" w14:textId="77777777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</w:p>
    <w:p w14:paraId="06C72807" w14:textId="610CFC26" w:rsidR="003C5759" w:rsidRPr="003C5759" w:rsidRDefault="003C5759" w:rsidP="003C5759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300" w:lineRule="exact"/>
        <w:ind w:firstLine="1701"/>
        <w:rPr>
          <w:rFonts w:ascii="Tahoma" w:hAnsi="Tahoma" w:cs="Tahoma"/>
          <w:color w:val="auto"/>
          <w:sz w:val="24"/>
          <w:szCs w:val="24"/>
          <w:lang w:val="pt-BR"/>
        </w:rPr>
      </w:pPr>
      <w:r w:rsidRPr="003C5759">
        <w:rPr>
          <w:rFonts w:ascii="Tahoma" w:hAnsi="Tahoma" w:cs="Tahoma"/>
          <w:b/>
          <w:bCs/>
          <w:color w:val="auto"/>
          <w:sz w:val="24"/>
          <w:szCs w:val="24"/>
          <w:lang w:val="pt-BR"/>
        </w:rPr>
        <w:t>Art. 13.</w:t>
      </w:r>
      <w:r w:rsidRPr="003C5759">
        <w:rPr>
          <w:rFonts w:ascii="Tahoma" w:hAnsi="Tahoma" w:cs="Tahoma"/>
          <w:color w:val="auto"/>
          <w:sz w:val="24"/>
          <w:szCs w:val="24"/>
          <w:lang w:val="pt-BR"/>
        </w:rPr>
        <w:t xml:space="preserve"> Revogam-se todas as disposições em contrário. </w:t>
      </w:r>
    </w:p>
    <w:p w14:paraId="28397591" w14:textId="77777777" w:rsidR="003C5759" w:rsidRDefault="003C5759" w:rsidP="003C5759">
      <w:pPr>
        <w:spacing w:line="300" w:lineRule="exact"/>
        <w:rPr>
          <w:rFonts w:ascii="Tahoma" w:hAnsi="Tahoma" w:cs="Tahoma"/>
          <w:sz w:val="24"/>
          <w:szCs w:val="24"/>
        </w:rPr>
      </w:pPr>
    </w:p>
    <w:p w14:paraId="41390067" w14:textId="7929559D" w:rsidR="003C5759" w:rsidRDefault="003C5759" w:rsidP="003C5759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Gabinete do Prefeito, </w:t>
      </w:r>
      <w:r w:rsidR="00F71277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de março de 2024.</w:t>
      </w:r>
    </w:p>
    <w:p w14:paraId="4E6700F3" w14:textId="77777777" w:rsidR="003C5759" w:rsidRDefault="003C5759" w:rsidP="003C5759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</w:p>
    <w:p w14:paraId="641F3964" w14:textId="77777777" w:rsidR="003C5759" w:rsidRDefault="003C5759" w:rsidP="003C5759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</w:p>
    <w:p w14:paraId="482D8F8A" w14:textId="152C8BD9" w:rsidR="003C5759" w:rsidRPr="003C5759" w:rsidRDefault="003C5759" w:rsidP="003C5759">
      <w:pPr>
        <w:spacing w:line="30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3C5759">
        <w:rPr>
          <w:rFonts w:ascii="Tahoma" w:hAnsi="Tahoma" w:cs="Tahoma"/>
          <w:b/>
          <w:bCs/>
          <w:sz w:val="24"/>
          <w:szCs w:val="24"/>
        </w:rPr>
        <w:t>JOSÉ LUIS RICI</w:t>
      </w:r>
    </w:p>
    <w:p w14:paraId="679F2CAE" w14:textId="61868D82" w:rsidR="003C5759" w:rsidRPr="003C5759" w:rsidRDefault="003C5759" w:rsidP="003C5759">
      <w:pPr>
        <w:spacing w:line="30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Prefeito Municipal</w:t>
      </w:r>
    </w:p>
    <w:sectPr w:rsidR="003C5759" w:rsidRPr="003C5759" w:rsidSect="00C355F7">
      <w:pgSz w:w="11906" w:h="16838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59"/>
    <w:rsid w:val="003C5759"/>
    <w:rsid w:val="00C355F7"/>
    <w:rsid w:val="00C53FB6"/>
    <w:rsid w:val="00F71277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2F2"/>
  <w15:chartTrackingRefBased/>
  <w15:docId w15:val="{388ED90B-F731-43CD-9E3C-526CD07F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3C575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kern w:val="0"/>
      <w:sz w:val="28"/>
      <w:szCs w:val="20"/>
      <w:lang w:val="en-US" w:eastAsia="pt-BR"/>
      <w14:ligatures w14:val="none"/>
    </w:rPr>
  </w:style>
  <w:style w:type="paragraph" w:customStyle="1" w:styleId="Default">
    <w:name w:val="Default"/>
    <w:rsid w:val="003C575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kern w:val="0"/>
      <w:sz w:val="24"/>
      <w:szCs w:val="24"/>
      <w:lang w:eastAsia="pt-BR"/>
      <w14:ligatures w14:val="none"/>
    </w:rPr>
  </w:style>
  <w:style w:type="paragraph" w:customStyle="1" w:styleId="texto20">
    <w:name w:val="texto20"/>
    <w:basedOn w:val="Normal"/>
    <w:rsid w:val="003C57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1505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Perassoli Filho</dc:creator>
  <cp:keywords/>
  <dc:description/>
  <cp:lastModifiedBy>Antonio Sergio Perassoli Filho</cp:lastModifiedBy>
  <cp:revision>3</cp:revision>
  <dcterms:created xsi:type="dcterms:W3CDTF">2024-03-04T17:52:00Z</dcterms:created>
  <dcterms:modified xsi:type="dcterms:W3CDTF">2024-03-04T18:18:00Z</dcterms:modified>
</cp:coreProperties>
</file>