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81" w:rsidRDefault="00504981" w:rsidP="00504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95</w:t>
      </w:r>
    </w:p>
    <w:p w:rsidR="00504981" w:rsidRDefault="00504981" w:rsidP="0050498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04981" w:rsidRDefault="00504981" w:rsidP="0050498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04981" w:rsidRPr="00504981" w:rsidRDefault="00504981" w:rsidP="00504981">
      <w:pPr>
        <w:ind w:left="3828"/>
        <w:jc w:val="both"/>
        <w:rPr>
          <w:rFonts w:ascii="Arial" w:hAnsi="Arial" w:cs="Arial"/>
          <w:b/>
          <w:sz w:val="26"/>
          <w:szCs w:val="26"/>
        </w:rPr>
      </w:pPr>
      <w:r w:rsidRPr="00504981">
        <w:rPr>
          <w:rFonts w:ascii="Arial" w:hAnsi="Arial" w:cs="Arial"/>
          <w:b/>
          <w:sz w:val="26"/>
          <w:szCs w:val="26"/>
        </w:rPr>
        <w:t xml:space="preserve">DISPÕE SOBRE A RESERVA DE PERCENTUAL DE VAGAS NOS CONCURSOS PÚBLICOS PARA AS PESSOAS COM SÍNDROME DE DOWN, NO ÂMBITO DO MUNICÍPIO DA ESTÂNCIA TURÍSTICA DE BARRA BONITA. </w:t>
      </w:r>
    </w:p>
    <w:p w:rsidR="00504981" w:rsidRDefault="00504981" w:rsidP="0050498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04981" w:rsidRDefault="00504981" w:rsidP="0050498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04981" w:rsidRPr="0007182C" w:rsidRDefault="00504981" w:rsidP="0050498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 xml:space="preserve">2 de </w:t>
      </w:r>
      <w:r>
        <w:rPr>
          <w:rFonts w:ascii="Arial" w:hAnsi="Arial" w:cs="Arial"/>
          <w:szCs w:val="26"/>
        </w:rPr>
        <w:t>Outubro</w:t>
      </w:r>
      <w:r>
        <w:rPr>
          <w:rFonts w:ascii="Arial" w:hAnsi="Arial" w:cs="Arial"/>
          <w:szCs w:val="26"/>
        </w:rPr>
        <w:t xml:space="preserve"> </w:t>
      </w:r>
      <w:r w:rsidRPr="0007182C">
        <w:rPr>
          <w:rFonts w:ascii="Arial" w:hAnsi="Arial" w:cs="Arial"/>
          <w:szCs w:val="26"/>
        </w:rPr>
        <w:t>de 2023, APROVOU: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504981" w:rsidRPr="0007182C" w:rsidRDefault="00504981" w:rsidP="00504981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504981" w:rsidRDefault="00504981" w:rsidP="00504981">
      <w:pPr>
        <w:ind w:firstLine="709"/>
        <w:jc w:val="both"/>
        <w:rPr>
          <w:rFonts w:ascii="Arial" w:hAnsi="Arial" w:cs="Arial"/>
        </w:rPr>
      </w:pPr>
      <w:r w:rsidRPr="00A12DE5">
        <w:rPr>
          <w:rFonts w:ascii="Arial" w:hAnsi="Arial" w:cs="Arial"/>
          <w:b/>
        </w:rPr>
        <w:t>Art. 1° –</w:t>
      </w:r>
      <w:r>
        <w:rPr>
          <w:rFonts w:ascii="Arial" w:hAnsi="Arial" w:cs="Arial"/>
          <w:b/>
        </w:rPr>
        <w:t xml:space="preserve"> </w:t>
      </w:r>
      <w:r w:rsidRPr="00E83304">
        <w:rPr>
          <w:rFonts w:ascii="Arial" w:hAnsi="Arial" w:cs="Arial"/>
        </w:rPr>
        <w:t>Esta</w:t>
      </w:r>
      <w:r w:rsidRPr="00A60E7E">
        <w:rPr>
          <w:rFonts w:ascii="Arial" w:hAnsi="Arial" w:cs="Arial"/>
        </w:rPr>
        <w:t xml:space="preserve"> lei Reserva percentual de vagas nos concursos públicos</w:t>
      </w:r>
      <w:r>
        <w:rPr>
          <w:rFonts w:ascii="Arial" w:hAnsi="Arial" w:cs="Arial"/>
        </w:rPr>
        <w:t>, quando possível,</w:t>
      </w:r>
      <w:r w:rsidRPr="00A60E7E">
        <w:rPr>
          <w:rFonts w:ascii="Arial" w:hAnsi="Arial" w:cs="Arial"/>
        </w:rPr>
        <w:t xml:space="preserve"> para as pessoas </w:t>
      </w:r>
      <w:r>
        <w:rPr>
          <w:rFonts w:ascii="Arial" w:hAnsi="Arial" w:cs="Arial"/>
        </w:rPr>
        <w:t>com síndrome de Down, nos concursos públicos realizados no âmbito do município da Estância Turística de Barra Bonita.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Pr="00A60E7E" w:rsidRDefault="00504981" w:rsidP="00504981">
      <w:pPr>
        <w:ind w:firstLine="709"/>
        <w:jc w:val="both"/>
        <w:rPr>
          <w:rFonts w:ascii="Arial" w:hAnsi="Arial" w:cs="Arial"/>
        </w:rPr>
      </w:pPr>
      <w:r w:rsidRPr="00A12DE5">
        <w:rPr>
          <w:rFonts w:ascii="Arial" w:hAnsi="Arial" w:cs="Arial"/>
          <w:b/>
        </w:rPr>
        <w:t>Art.2º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O poder público municipal reservará</w:t>
      </w:r>
      <w:r>
        <w:rPr>
          <w:rFonts w:ascii="Arial" w:hAnsi="Arial" w:cs="Arial"/>
        </w:rPr>
        <w:t>, quando possível,</w:t>
      </w:r>
      <w:r w:rsidRPr="00A60E7E">
        <w:rPr>
          <w:rFonts w:ascii="Arial" w:hAnsi="Arial" w:cs="Arial"/>
        </w:rPr>
        <w:t xml:space="preserve"> no mínimo </w:t>
      </w:r>
      <w:r>
        <w:rPr>
          <w:rFonts w:ascii="Arial" w:hAnsi="Arial" w:cs="Arial"/>
        </w:rPr>
        <w:t>2% (</w:t>
      </w:r>
      <w:r w:rsidRPr="00A60E7E">
        <w:rPr>
          <w:rFonts w:ascii="Arial" w:hAnsi="Arial" w:cs="Arial"/>
        </w:rPr>
        <w:t>dois por cento</w:t>
      </w:r>
      <w:r>
        <w:rPr>
          <w:rFonts w:ascii="Arial" w:hAnsi="Arial" w:cs="Arial"/>
        </w:rPr>
        <w:t>)</w:t>
      </w:r>
      <w:r w:rsidRPr="00A60E7E">
        <w:rPr>
          <w:rFonts w:ascii="Arial" w:hAnsi="Arial" w:cs="Arial"/>
        </w:rPr>
        <w:t xml:space="preserve"> das vagas de seus quadros de pessoal, destinadas a </w:t>
      </w:r>
      <w:r>
        <w:rPr>
          <w:rFonts w:ascii="Arial" w:hAnsi="Arial" w:cs="Arial"/>
        </w:rPr>
        <w:t>pessoas com</w:t>
      </w:r>
      <w:r w:rsidRPr="00A60E7E">
        <w:rPr>
          <w:rFonts w:ascii="Arial" w:hAnsi="Arial" w:cs="Arial"/>
        </w:rPr>
        <w:t xml:space="preserve"> deficiência, nos termos do art. 37, VIII, da Constituição Federal, para</w:t>
      </w:r>
      <w:r>
        <w:rPr>
          <w:rFonts w:ascii="Arial" w:hAnsi="Arial" w:cs="Arial"/>
        </w:rPr>
        <w:t xml:space="preserve"> serem preenchidas por pessoas com </w:t>
      </w:r>
      <w:r w:rsidRPr="00A60E7E">
        <w:rPr>
          <w:rFonts w:ascii="Arial" w:hAnsi="Arial" w:cs="Arial"/>
        </w:rPr>
        <w:t xml:space="preserve">síndrome de Down. 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Default="00504981" w:rsidP="00504981">
      <w:pPr>
        <w:ind w:firstLine="709"/>
        <w:jc w:val="both"/>
        <w:rPr>
          <w:rFonts w:ascii="Arial" w:hAnsi="Arial" w:cs="Arial"/>
        </w:rPr>
      </w:pPr>
      <w:r w:rsidRPr="00A12DE5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Para efeito do disposto neste artigo, as vagas não preenchidas por pessoas </w:t>
      </w:r>
      <w:r>
        <w:rPr>
          <w:rFonts w:ascii="Arial" w:hAnsi="Arial" w:cs="Arial"/>
        </w:rPr>
        <w:t>com</w:t>
      </w:r>
      <w:r w:rsidRPr="00A60E7E">
        <w:rPr>
          <w:rFonts w:ascii="Arial" w:hAnsi="Arial" w:cs="Arial"/>
        </w:rPr>
        <w:t xml:space="preserve"> síndrome de Down serão utilizadas por </w:t>
      </w:r>
      <w:r>
        <w:rPr>
          <w:rFonts w:ascii="Arial" w:hAnsi="Arial" w:cs="Arial"/>
        </w:rPr>
        <w:t>pessoas com</w:t>
      </w:r>
      <w:r w:rsidRPr="00A60E7E">
        <w:rPr>
          <w:rFonts w:ascii="Arial" w:hAnsi="Arial" w:cs="Arial"/>
        </w:rPr>
        <w:t xml:space="preserve"> outras deficiências. 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Default="00504981" w:rsidP="00504981">
      <w:pPr>
        <w:ind w:firstLine="709"/>
        <w:jc w:val="both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>Art. 3°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O processo seletivo das pessoas </w:t>
      </w:r>
      <w:r>
        <w:rPr>
          <w:rFonts w:ascii="Arial" w:hAnsi="Arial" w:cs="Arial"/>
        </w:rPr>
        <w:t>com</w:t>
      </w:r>
      <w:r w:rsidRPr="00A60E7E">
        <w:rPr>
          <w:rFonts w:ascii="Arial" w:hAnsi="Arial" w:cs="Arial"/>
        </w:rPr>
        <w:t xml:space="preserve"> síndrome de Down far-se-á por meio de sistema diferenciado e de critérios especiais estabelecidos por equipe multiprofissional formada por representantes do Município, e das i</w:t>
      </w:r>
      <w:r>
        <w:rPr>
          <w:rFonts w:ascii="Arial" w:hAnsi="Arial" w:cs="Arial"/>
        </w:rPr>
        <w:t>nstituições locais de amparo às pessoas com deficiência</w:t>
      </w:r>
      <w:r w:rsidRPr="00A60E7E">
        <w:rPr>
          <w:rFonts w:ascii="Arial" w:hAnsi="Arial" w:cs="Arial"/>
        </w:rPr>
        <w:t xml:space="preserve"> legalmente reconhecidas. 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Pr="00A60E7E" w:rsidRDefault="00504981" w:rsidP="00504981">
      <w:pPr>
        <w:ind w:firstLine="709"/>
        <w:jc w:val="both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>Art. 4°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Os departamentos de recursos humanos e de saúde dos órgãos empregadores e o especialista indicado pela equipe multiprofissional referida no art. 3º avaliarão a capacitação </w:t>
      </w:r>
      <w:r>
        <w:rPr>
          <w:rFonts w:ascii="Arial" w:hAnsi="Arial" w:cs="Arial"/>
        </w:rPr>
        <w:t>da pessoa com</w:t>
      </w:r>
      <w:r w:rsidRPr="00A60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60E7E">
        <w:rPr>
          <w:rFonts w:ascii="Arial" w:hAnsi="Arial" w:cs="Arial"/>
        </w:rPr>
        <w:t xml:space="preserve">índrome de Down para o desempenho das atividades a serem desenvolvidas no exercício do serviço público, nos termos desta Lei. 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Pr="00A60E7E" w:rsidRDefault="00504981" w:rsidP="00504981">
      <w:pPr>
        <w:ind w:firstLine="709"/>
        <w:jc w:val="both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>§ 1°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pessoa com</w:t>
      </w:r>
      <w:r w:rsidRPr="00A60E7E">
        <w:rPr>
          <w:rFonts w:ascii="Arial" w:hAnsi="Arial" w:cs="Arial"/>
        </w:rPr>
        <w:t xml:space="preserve"> síndrome de Down poderá recorrer, por meio de representante legalmente constituído, no prazo de três dias úteis a contar do conhecimento da decisão denegatória. </w:t>
      </w:r>
    </w:p>
    <w:p w:rsidR="00504981" w:rsidRDefault="00504981" w:rsidP="00504981">
      <w:pPr>
        <w:ind w:firstLine="709"/>
        <w:jc w:val="both"/>
        <w:rPr>
          <w:rFonts w:ascii="Arial" w:hAnsi="Arial" w:cs="Arial"/>
          <w:b/>
        </w:rPr>
      </w:pPr>
    </w:p>
    <w:p w:rsidR="00504981" w:rsidRDefault="00504981" w:rsidP="00504981">
      <w:pPr>
        <w:ind w:firstLine="709"/>
        <w:jc w:val="both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>§ 2°</w:t>
      </w:r>
      <w:r w:rsidRPr="00A60E7E">
        <w:rPr>
          <w:rFonts w:ascii="Arial" w:hAnsi="Arial" w:cs="Arial"/>
        </w:rPr>
        <w:t xml:space="preserve"> </w:t>
      </w:r>
      <w:r w:rsidRPr="00D169C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A60E7E">
        <w:rPr>
          <w:rFonts w:ascii="Arial" w:hAnsi="Arial" w:cs="Arial"/>
        </w:rPr>
        <w:t>O recorrente terá o prazo de trinta dias para comprovar a adequação e aptidão ao exercício do serviço para o qual foi indicado, mediante acompanhamento dos departamentos e do especialista referidos no caput deste artigo.</w:t>
      </w: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>Art. 5°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Caberá ao Poder Executivo regulamentar a presente Lei.</w:t>
      </w:r>
    </w:p>
    <w:p w:rsidR="00504981" w:rsidRDefault="00504981" w:rsidP="00504981">
      <w:pPr>
        <w:ind w:firstLine="708"/>
        <w:rPr>
          <w:rFonts w:ascii="Arial" w:hAnsi="Arial" w:cs="Arial"/>
          <w:b/>
        </w:rPr>
      </w:pPr>
    </w:p>
    <w:p w:rsidR="00504981" w:rsidRDefault="00504981" w:rsidP="00504981">
      <w:pPr>
        <w:ind w:firstLine="708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D169CA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A60E7E">
        <w:rPr>
          <w:rFonts w:ascii="Arial" w:hAnsi="Arial" w:cs="Arial"/>
        </w:rPr>
        <w:t>Esta Lei entra em vigor na data de sua publicação.</w:t>
      </w:r>
    </w:p>
    <w:p w:rsidR="00504981" w:rsidRDefault="00504981" w:rsidP="00504981">
      <w:pPr>
        <w:ind w:firstLine="708"/>
        <w:jc w:val="both"/>
        <w:rPr>
          <w:rFonts w:ascii="Arial" w:hAnsi="Arial" w:cs="Arial"/>
        </w:rPr>
      </w:pPr>
    </w:p>
    <w:p w:rsidR="00504981" w:rsidRPr="00EA26BD" w:rsidRDefault="00504981" w:rsidP="00504981">
      <w:pPr>
        <w:ind w:left="-142" w:right="-142"/>
        <w:jc w:val="right"/>
        <w:rPr>
          <w:rFonts w:ascii="Arial" w:hAnsi="Arial" w:cs="Arial"/>
          <w:sz w:val="12"/>
          <w:szCs w:val="26"/>
        </w:rPr>
      </w:pPr>
      <w:r w:rsidRPr="00EA26BD">
        <w:rPr>
          <w:rFonts w:ascii="Arial" w:hAnsi="Arial" w:cs="Arial"/>
          <w:sz w:val="26"/>
          <w:szCs w:val="26"/>
        </w:rPr>
        <w:t xml:space="preserve">Câmara Municipal da Estância Turística de Barra Bonita, </w:t>
      </w:r>
      <w:r>
        <w:rPr>
          <w:rFonts w:ascii="Arial" w:hAnsi="Arial" w:cs="Arial"/>
          <w:sz w:val="26"/>
          <w:szCs w:val="26"/>
        </w:rPr>
        <w:t>03 de outubro</w:t>
      </w:r>
      <w:r>
        <w:rPr>
          <w:rFonts w:ascii="Arial" w:hAnsi="Arial" w:cs="Arial"/>
          <w:sz w:val="26"/>
          <w:szCs w:val="26"/>
        </w:rPr>
        <w:t xml:space="preserve"> </w:t>
      </w:r>
      <w:r w:rsidRPr="00EA26BD">
        <w:rPr>
          <w:rFonts w:ascii="Arial" w:hAnsi="Arial" w:cs="Arial"/>
          <w:sz w:val="26"/>
          <w:szCs w:val="26"/>
        </w:rPr>
        <w:t>de 2023.</w:t>
      </w:r>
    </w:p>
    <w:p w:rsidR="00504981" w:rsidRDefault="00504981" w:rsidP="00504981">
      <w:pPr>
        <w:ind w:firstLine="708"/>
        <w:jc w:val="both"/>
        <w:rPr>
          <w:rFonts w:ascii="Arial" w:hAnsi="Arial" w:cs="Arial"/>
        </w:rPr>
      </w:pPr>
    </w:p>
    <w:p w:rsidR="00504981" w:rsidRDefault="00504981" w:rsidP="00504981">
      <w:pPr>
        <w:ind w:firstLine="708"/>
        <w:jc w:val="both"/>
        <w:rPr>
          <w:rFonts w:ascii="Arial" w:hAnsi="Arial" w:cs="Arial"/>
        </w:rPr>
      </w:pPr>
    </w:p>
    <w:p w:rsidR="00504981" w:rsidRDefault="00504981" w:rsidP="00504981">
      <w:pPr>
        <w:ind w:firstLine="708"/>
        <w:jc w:val="both"/>
        <w:rPr>
          <w:rFonts w:ascii="Arial" w:hAnsi="Arial" w:cs="Arial"/>
        </w:rPr>
      </w:pPr>
    </w:p>
    <w:p w:rsidR="00504981" w:rsidRDefault="00504981" w:rsidP="00504981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504981" w:rsidRPr="0007182C" w:rsidRDefault="00504981" w:rsidP="00504981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504981" w:rsidRPr="007C6F80" w:rsidRDefault="00504981" w:rsidP="00504981">
      <w:pPr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04981" w:rsidRPr="007C6F80" w:rsidRDefault="00504981" w:rsidP="00504981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147F57" w:rsidRDefault="00147F57" w:rsidP="00504981"/>
    <w:sectPr w:rsidR="00147F57" w:rsidSect="00504981">
      <w:pgSz w:w="11906" w:h="16838"/>
      <w:pgMar w:top="1702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81"/>
    <w:rsid w:val="00147F57"/>
    <w:rsid w:val="0050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AE5A-8958-4F4A-B02C-E870FA22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0498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049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9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049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9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9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2023-10-03T11:11:00Z</cp:lastPrinted>
  <dcterms:created xsi:type="dcterms:W3CDTF">2023-10-03T11:06:00Z</dcterms:created>
  <dcterms:modified xsi:type="dcterms:W3CDTF">2023-10-03T11:12:00Z</dcterms:modified>
</cp:coreProperties>
</file>