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73" w:rsidRDefault="008C2473" w:rsidP="00BF27E5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  <w:bookmarkStart w:id="0" w:name="_GoBack"/>
      <w:bookmarkEnd w:id="0"/>
    </w:p>
    <w:p w:rsidR="008C2473" w:rsidRDefault="008C2473" w:rsidP="00BF27E5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:rsidR="008C2473" w:rsidRDefault="008C2473" w:rsidP="00BF27E5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:rsidR="008C2473" w:rsidRDefault="008C2473" w:rsidP="00BF27E5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:rsidR="008C2473" w:rsidRDefault="008C2473" w:rsidP="00BF27E5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:rsidR="00BF27E5" w:rsidRPr="00050A99" w:rsidRDefault="002D372C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40"/>
          <w:szCs w:val="20"/>
        </w:rPr>
      </w:pPr>
      <w:r w:rsidRPr="00050A99">
        <w:rPr>
          <w:rStyle w:val="Forte"/>
          <w:rFonts w:ascii="Arial" w:hAnsi="Arial" w:cs="Arial"/>
          <w:sz w:val="40"/>
          <w:szCs w:val="20"/>
        </w:rPr>
        <w:t xml:space="preserve">PROJETO DE LEI Nº </w:t>
      </w:r>
      <w:r w:rsidR="00090AAB">
        <w:rPr>
          <w:rStyle w:val="Forte"/>
          <w:rFonts w:ascii="Arial" w:hAnsi="Arial" w:cs="Arial"/>
          <w:sz w:val="40"/>
          <w:szCs w:val="20"/>
        </w:rPr>
        <w:t>39</w:t>
      </w:r>
      <w:r w:rsidRPr="00050A99">
        <w:rPr>
          <w:rStyle w:val="Forte"/>
          <w:rFonts w:ascii="Arial" w:hAnsi="Arial" w:cs="Arial"/>
          <w:sz w:val="40"/>
          <w:szCs w:val="20"/>
        </w:rPr>
        <w:t>/2023-L</w:t>
      </w:r>
    </w:p>
    <w:p w:rsidR="00BF27E5" w:rsidRPr="00BF27E5" w:rsidRDefault="002D372C" w:rsidP="00BF27E5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F27E5">
        <w:rPr>
          <w:rFonts w:ascii="Arial" w:hAnsi="Arial" w:cs="Arial"/>
          <w:sz w:val="20"/>
          <w:szCs w:val="20"/>
        </w:rPr>
        <w:t> </w:t>
      </w:r>
    </w:p>
    <w:p w:rsidR="00BF27E5" w:rsidRPr="00AA6A63" w:rsidRDefault="002D372C" w:rsidP="00050A99">
      <w:pPr>
        <w:pStyle w:val="western"/>
        <w:spacing w:before="0" w:beforeAutospacing="0" w:after="0" w:afterAutospacing="0" w:line="360" w:lineRule="auto"/>
        <w:ind w:left="3398"/>
        <w:jc w:val="both"/>
        <w:rPr>
          <w:rFonts w:ascii="Arial" w:hAnsi="Arial" w:cs="Arial"/>
          <w:b/>
          <w:caps/>
          <w:szCs w:val="20"/>
        </w:rPr>
      </w:pPr>
      <w:r w:rsidRPr="00AA6A63">
        <w:rPr>
          <w:rFonts w:ascii="Arial" w:hAnsi="Arial" w:cs="Arial"/>
          <w:b/>
          <w:caps/>
          <w:szCs w:val="20"/>
        </w:rPr>
        <w:t>Dispõe sobre a utilização do cordão de girassol como símbolo para a identificação da pessoa com deficiência oculta no Município</w:t>
      </w:r>
      <w:r w:rsidR="008C2473" w:rsidRPr="00AA6A63">
        <w:rPr>
          <w:rFonts w:ascii="Arial" w:hAnsi="Arial" w:cs="Arial"/>
          <w:b/>
          <w:caps/>
          <w:szCs w:val="20"/>
        </w:rPr>
        <w:t xml:space="preserve"> da</w:t>
      </w:r>
      <w:r w:rsidR="00392B74" w:rsidRPr="00AA6A63">
        <w:rPr>
          <w:rFonts w:ascii="Arial" w:hAnsi="Arial" w:cs="Arial"/>
          <w:b/>
          <w:caps/>
          <w:szCs w:val="20"/>
        </w:rPr>
        <w:t xml:space="preserve"> Estância Turística de Barra </w:t>
      </w:r>
      <w:r w:rsidR="00050A99" w:rsidRPr="00AA6A63">
        <w:rPr>
          <w:rFonts w:ascii="Arial" w:hAnsi="Arial" w:cs="Arial"/>
          <w:b/>
          <w:caps/>
          <w:szCs w:val="20"/>
        </w:rPr>
        <w:t>Bonita e</w:t>
      </w:r>
      <w:r w:rsidRPr="00AA6A63">
        <w:rPr>
          <w:rFonts w:ascii="Arial" w:hAnsi="Arial" w:cs="Arial"/>
          <w:b/>
          <w:caps/>
          <w:szCs w:val="20"/>
        </w:rPr>
        <w:t xml:space="preserve"> dá outras providências.</w:t>
      </w:r>
    </w:p>
    <w:p w:rsidR="00BF27E5" w:rsidRPr="00050A99" w:rsidRDefault="002D372C" w:rsidP="00BF27E5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 w:rsidRPr="00050A99">
        <w:rPr>
          <w:rFonts w:ascii="Arial" w:hAnsi="Arial" w:cs="Arial"/>
          <w:szCs w:val="20"/>
        </w:rPr>
        <w:t> 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Art. 1º -</w:t>
      </w:r>
      <w:r w:rsidRPr="00050A99">
        <w:rPr>
          <w:rFonts w:ascii="Arial" w:hAnsi="Arial" w:cs="Arial"/>
          <w:szCs w:val="20"/>
        </w:rPr>
        <w:t xml:space="preserve"> A utilização do cordão de girassol torna-se símbolo para a identificação da pessoa com deficiência oculta no Município</w:t>
      </w:r>
      <w:r w:rsidR="00392B74" w:rsidRPr="00050A99">
        <w:rPr>
          <w:rFonts w:ascii="Arial" w:hAnsi="Arial" w:cs="Arial"/>
          <w:szCs w:val="20"/>
        </w:rPr>
        <w:t xml:space="preserve"> da Estância Turística de Barra Bonita</w:t>
      </w:r>
      <w:r w:rsidRPr="00050A99">
        <w:rPr>
          <w:rFonts w:ascii="Arial" w:hAnsi="Arial" w:cs="Arial"/>
          <w:szCs w:val="20"/>
        </w:rPr>
        <w:t xml:space="preserve">. </w:t>
      </w:r>
    </w:p>
    <w:p w:rsidR="00955B95" w:rsidRPr="00050A99" w:rsidRDefault="00955B95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Art. 2º -</w:t>
      </w:r>
      <w:r w:rsidRPr="00050A99">
        <w:rPr>
          <w:rFonts w:ascii="Arial" w:hAnsi="Arial" w:cs="Arial"/>
          <w:szCs w:val="20"/>
        </w:rPr>
        <w:t xml:space="preserve"> O cordão de girassol de que trata o art. 1° desta lei deverá ser da cor verde, estam</w:t>
      </w:r>
      <w:r w:rsidRPr="00050A99">
        <w:rPr>
          <w:rFonts w:ascii="Arial" w:hAnsi="Arial" w:cs="Arial"/>
          <w:szCs w:val="20"/>
        </w:rPr>
        <w:t xml:space="preserve">pado de girassóis da cor amarela e seguir o modelo contido no Anexo Único desta lei. </w:t>
      </w:r>
    </w:p>
    <w:p w:rsidR="00955B95" w:rsidRPr="00050A99" w:rsidRDefault="00955B95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Art. 3º -</w:t>
      </w:r>
      <w:r w:rsidRPr="00050A99">
        <w:rPr>
          <w:rFonts w:ascii="Arial" w:hAnsi="Arial" w:cs="Arial"/>
          <w:szCs w:val="20"/>
        </w:rPr>
        <w:t xml:space="preserve"> Para os efeitos desta lei, entende-se por pessoa com deficiência oculta aquela que possui impedimento de longo prazo, de natureza mental, intelectual ou senso</w:t>
      </w:r>
      <w:r w:rsidRPr="00050A99">
        <w:rPr>
          <w:rFonts w:ascii="Arial" w:hAnsi="Arial" w:cs="Arial"/>
          <w:szCs w:val="20"/>
        </w:rPr>
        <w:t xml:space="preserve">rial, que possa impossibilitar sua participação plena e efetiva na sociedade quando em igualdade de condições com as demais pessoas. </w:t>
      </w:r>
    </w:p>
    <w:p w:rsidR="00955B95" w:rsidRPr="00050A99" w:rsidRDefault="00955B95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</w:p>
    <w:p w:rsidR="00955B9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="00BF27E5" w:rsidRPr="00050A99">
        <w:rPr>
          <w:rFonts w:ascii="Arial" w:hAnsi="Arial" w:cs="Arial"/>
          <w:b/>
          <w:szCs w:val="20"/>
        </w:rPr>
        <w:t>Art. 4º -</w:t>
      </w:r>
      <w:r w:rsidR="00BF27E5" w:rsidRPr="00050A99">
        <w:rPr>
          <w:rFonts w:ascii="Arial" w:hAnsi="Arial" w:cs="Arial"/>
          <w:szCs w:val="20"/>
        </w:rPr>
        <w:t xml:space="preserve"> Por meio do uso do cordão de girassol, a pessoa com deficiência oculta terá assegurados os direitos a atenção especial e a atendimento prioritário e humanizado. </w:t>
      </w:r>
    </w:p>
    <w:p w:rsidR="00955B9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="00BF27E5" w:rsidRPr="00050A99">
        <w:rPr>
          <w:rFonts w:ascii="Arial" w:hAnsi="Arial" w:cs="Arial"/>
          <w:b/>
          <w:szCs w:val="20"/>
        </w:rPr>
        <w:t>§ 1º -</w:t>
      </w:r>
      <w:r w:rsidR="00BF27E5" w:rsidRPr="00050A99">
        <w:rPr>
          <w:rFonts w:ascii="Arial" w:hAnsi="Arial" w:cs="Arial"/>
          <w:szCs w:val="20"/>
        </w:rPr>
        <w:t xml:space="preserve"> Para os efeitos do disposto no </w:t>
      </w:r>
      <w:r w:rsidR="00BF27E5" w:rsidRPr="00050A99">
        <w:rPr>
          <w:rStyle w:val="nfase"/>
          <w:rFonts w:ascii="Arial" w:hAnsi="Arial" w:cs="Arial"/>
          <w:szCs w:val="20"/>
        </w:rPr>
        <w:t>caput</w:t>
      </w:r>
      <w:r w:rsidR="00BF27E5" w:rsidRPr="00050A99">
        <w:rPr>
          <w:rFonts w:ascii="Arial" w:hAnsi="Arial" w:cs="Arial"/>
          <w:szCs w:val="20"/>
        </w:rPr>
        <w:t xml:space="preserve"> deste artigo, as repartições públicas, as empresas prestadoras de serviços públicos e os estabelecimentos privados deverão oferecer atendimento prioritário e serviços individualizados que assegurem tratamento diferenciado e imediato à pessoa com deficiência oculta que esteja portando o cordão de girassol.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§ 2º -</w:t>
      </w:r>
      <w:r w:rsidRPr="00050A99">
        <w:rPr>
          <w:rFonts w:ascii="Arial" w:hAnsi="Arial" w:cs="Arial"/>
          <w:szCs w:val="20"/>
        </w:rPr>
        <w:t xml:space="preserve"> Para os efeitos do disposto no § 1º deste artigo, entende-se por estabelecimentos privados: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I -</w:t>
      </w:r>
      <w:r w:rsidRPr="00050A99">
        <w:rPr>
          <w:rFonts w:ascii="Arial" w:hAnsi="Arial" w:cs="Arial"/>
          <w:szCs w:val="20"/>
        </w:rPr>
        <w:t xml:space="preserve"> s</w:t>
      </w:r>
      <w:r w:rsidRPr="00050A99">
        <w:rPr>
          <w:rFonts w:ascii="Arial" w:hAnsi="Arial" w:cs="Arial"/>
          <w:szCs w:val="20"/>
        </w:rPr>
        <w:t xml:space="preserve">upermercados;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II -</w:t>
      </w:r>
      <w:r w:rsidRPr="00050A99">
        <w:rPr>
          <w:rFonts w:ascii="Arial" w:hAnsi="Arial" w:cs="Arial"/>
          <w:szCs w:val="20"/>
        </w:rPr>
        <w:t xml:space="preserve"> bancos;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III -</w:t>
      </w:r>
      <w:r w:rsidRPr="00050A99">
        <w:rPr>
          <w:rFonts w:ascii="Arial" w:hAnsi="Arial" w:cs="Arial"/>
          <w:szCs w:val="20"/>
        </w:rPr>
        <w:t xml:space="preserve"> farmácias;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IV -</w:t>
      </w:r>
      <w:r w:rsidRPr="00050A99">
        <w:rPr>
          <w:rFonts w:ascii="Arial" w:hAnsi="Arial" w:cs="Arial"/>
          <w:szCs w:val="20"/>
        </w:rPr>
        <w:t xml:space="preserve"> bares;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V -</w:t>
      </w:r>
      <w:r w:rsidRPr="00050A99">
        <w:rPr>
          <w:rFonts w:ascii="Arial" w:hAnsi="Arial" w:cs="Arial"/>
          <w:szCs w:val="20"/>
        </w:rPr>
        <w:t xml:space="preserve"> restaurantes;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VI -</w:t>
      </w:r>
      <w:r w:rsidRPr="00050A99">
        <w:rPr>
          <w:rFonts w:ascii="Arial" w:hAnsi="Arial" w:cs="Arial"/>
          <w:szCs w:val="20"/>
        </w:rPr>
        <w:t xml:space="preserve"> lojas em geral; 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lastRenderedPageBreak/>
        <w:tab/>
      </w:r>
      <w:r w:rsidRPr="00050A99">
        <w:rPr>
          <w:rFonts w:ascii="Arial" w:hAnsi="Arial" w:cs="Arial"/>
          <w:b/>
          <w:szCs w:val="20"/>
        </w:rPr>
        <w:t>VII -</w:t>
      </w:r>
      <w:r w:rsidRPr="00050A99">
        <w:rPr>
          <w:rFonts w:ascii="Arial" w:hAnsi="Arial" w:cs="Arial"/>
          <w:szCs w:val="20"/>
        </w:rPr>
        <w:t xml:space="preserve"> demais estabelecimentos que exerçam atividades similares às dos elencados por este § 2º.</w:t>
      </w:r>
    </w:p>
    <w:p w:rsidR="00BF27E5" w:rsidRPr="00050A99" w:rsidRDefault="002D372C" w:rsidP="00464027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 xml:space="preserve">§ 3º - </w:t>
      </w:r>
      <w:r w:rsidRPr="00050A99">
        <w:rPr>
          <w:rFonts w:ascii="Arial" w:hAnsi="Arial" w:cs="Arial"/>
          <w:szCs w:val="20"/>
        </w:rPr>
        <w:t xml:space="preserve">A utilização do cordão de girassol não dispensa a apresentação de documento comprobatório da deficiência oculta, caso seja solicitado. </w:t>
      </w:r>
    </w:p>
    <w:p w:rsidR="00955B95" w:rsidRPr="00050A99" w:rsidRDefault="00955B95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BF27E5" w:rsidRPr="00050A99" w:rsidRDefault="002D372C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050A99">
        <w:rPr>
          <w:rFonts w:ascii="Arial" w:hAnsi="Arial" w:cs="Arial"/>
          <w:b/>
          <w:szCs w:val="20"/>
        </w:rPr>
        <w:t>Art. 5º -</w:t>
      </w:r>
      <w:r w:rsidRPr="00050A99">
        <w:rPr>
          <w:rFonts w:ascii="Arial" w:hAnsi="Arial" w:cs="Arial"/>
          <w:szCs w:val="20"/>
        </w:rPr>
        <w:t xml:space="preserve"> Esta lei entra em vigor na data de sua publicação. </w:t>
      </w:r>
    </w:p>
    <w:p w:rsidR="00BF27E5" w:rsidRPr="00050A99" w:rsidRDefault="002D372C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 w:rsidRPr="00050A99">
        <w:rPr>
          <w:rFonts w:ascii="Arial" w:hAnsi="Arial" w:cs="Arial"/>
          <w:szCs w:val="20"/>
        </w:rPr>
        <w:t> </w:t>
      </w:r>
    </w:p>
    <w:p w:rsidR="00BF27E5" w:rsidRPr="00050A99" w:rsidRDefault="002D372C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92B74" w:rsidRPr="00050A99">
        <w:rPr>
          <w:rFonts w:ascii="Arial" w:hAnsi="Arial" w:cs="Arial"/>
          <w:szCs w:val="20"/>
        </w:rPr>
        <w:t>Sala das Sessões, em 14 de agosto de 2023.</w:t>
      </w:r>
      <w:r w:rsidRPr="00050A99">
        <w:rPr>
          <w:rFonts w:ascii="Arial" w:hAnsi="Arial" w:cs="Arial"/>
          <w:szCs w:val="20"/>
        </w:rPr>
        <w:t> </w:t>
      </w:r>
    </w:p>
    <w:p w:rsidR="00050A99" w:rsidRPr="00050A99" w:rsidRDefault="002D372C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 w:rsidRPr="00050A99">
        <w:rPr>
          <w:rFonts w:ascii="Arial" w:hAnsi="Arial" w:cs="Arial"/>
          <w:szCs w:val="20"/>
        </w:rPr>
        <w:t> </w:t>
      </w:r>
    </w:p>
    <w:p w:rsidR="00050A99" w:rsidRPr="00050A99" w:rsidRDefault="00050A99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050A99" w:rsidRPr="00050A99" w:rsidRDefault="00050A99" w:rsidP="00050A99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050A99" w:rsidRPr="00050A99" w:rsidRDefault="002D372C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  <w:r w:rsidRPr="00050A99">
        <w:rPr>
          <w:rFonts w:ascii="Arial" w:hAnsi="Arial" w:cs="Arial"/>
          <w:b/>
          <w:szCs w:val="20"/>
        </w:rPr>
        <w:t>DR. A</w:t>
      </w:r>
      <w:r w:rsidRPr="00050A99">
        <w:rPr>
          <w:rFonts w:ascii="Arial" w:hAnsi="Arial" w:cs="Arial"/>
          <w:b/>
          <w:szCs w:val="20"/>
        </w:rPr>
        <w:t>FONSO BRESSANIN</w:t>
      </w:r>
    </w:p>
    <w:p w:rsidR="00050A99" w:rsidRDefault="002D372C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  <w:r w:rsidRPr="00050A99">
        <w:rPr>
          <w:rFonts w:ascii="Arial" w:hAnsi="Arial" w:cs="Arial"/>
          <w:szCs w:val="20"/>
        </w:rPr>
        <w:t>Vereador</w:t>
      </w:r>
    </w:p>
    <w:p w:rsidR="00464027" w:rsidRDefault="00464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464027" w:rsidRDefault="00464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464027" w:rsidRDefault="00464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A25027" w:rsidRDefault="00A25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464027" w:rsidRPr="00A25027" w:rsidRDefault="002D372C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  <w:r w:rsidRPr="00A25027">
        <w:rPr>
          <w:rFonts w:ascii="Arial" w:hAnsi="Arial" w:cs="Arial"/>
          <w:b/>
          <w:szCs w:val="20"/>
        </w:rPr>
        <w:lastRenderedPageBreak/>
        <w:t>JUSTIFICATIVA</w:t>
      </w:r>
    </w:p>
    <w:p w:rsidR="00464027" w:rsidRDefault="00464027" w:rsidP="00050A99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464027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Este Vereador ao realizar diversas pesquisas sobre os direitos das pessoas com deficiência, encontrou diversas leis municipais como este que ora apresento.</w:t>
      </w:r>
    </w:p>
    <w:p w:rsidR="00464027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464027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Diversos municípios </w:t>
      </w:r>
      <w:r>
        <w:rPr>
          <w:rFonts w:ascii="Arial" w:hAnsi="Arial" w:cs="Arial"/>
          <w:szCs w:val="20"/>
        </w:rPr>
        <w:t>ad</w:t>
      </w:r>
      <w:r w:rsidR="009B7BC2">
        <w:rPr>
          <w:rFonts w:ascii="Arial" w:hAnsi="Arial" w:cs="Arial"/>
          <w:szCs w:val="20"/>
        </w:rPr>
        <w:t>otaram este colar como forma de identificação de pessoas com deficiência não visível, com o fito de garantir o atendimento</w:t>
      </w:r>
      <w:r w:rsidR="009B7BC2" w:rsidRPr="009B7BC2">
        <w:rPr>
          <w:rFonts w:ascii="Arial" w:hAnsi="Arial" w:cs="Arial"/>
          <w:szCs w:val="20"/>
        </w:rPr>
        <w:t xml:space="preserve"> prioritário em repartições públicas, empresas prestadoras de serviços públicos e estabelecimentos privados.</w:t>
      </w:r>
      <w:r>
        <w:rPr>
          <w:rFonts w:ascii="Arial" w:hAnsi="Arial" w:cs="Arial"/>
          <w:szCs w:val="20"/>
        </w:rPr>
        <w:t xml:space="preserve"> </w:t>
      </w:r>
    </w:p>
    <w:p w:rsidR="009B7BC2" w:rsidRDefault="009B7BC2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9B7BC2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9B7BC2">
        <w:rPr>
          <w:rFonts w:ascii="Arial" w:hAnsi="Arial" w:cs="Arial"/>
          <w:szCs w:val="20"/>
        </w:rPr>
        <w:t>O cordão girassol de</w:t>
      </w:r>
      <w:r w:rsidRPr="009B7BC2">
        <w:rPr>
          <w:rFonts w:ascii="Arial" w:hAnsi="Arial" w:cs="Arial"/>
          <w:szCs w:val="20"/>
        </w:rPr>
        <w:t>verá ser da cor verde, estampado de girassóis da cor amarela. O acessório se torna símbolo municipal para identificação de pessoas com deficiência não visível como transtorno do espectro autista, transtorno de déficit de atenção, deficiência intelectual, d</w:t>
      </w:r>
      <w:r w:rsidRPr="009B7BC2">
        <w:rPr>
          <w:rFonts w:ascii="Arial" w:hAnsi="Arial" w:cs="Arial"/>
          <w:szCs w:val="20"/>
        </w:rPr>
        <w:t xml:space="preserve">emência, doença de </w:t>
      </w:r>
      <w:r>
        <w:rPr>
          <w:rFonts w:ascii="Arial" w:hAnsi="Arial" w:cs="Arial"/>
          <w:szCs w:val="20"/>
        </w:rPr>
        <w:t>C</w:t>
      </w:r>
      <w:r w:rsidRPr="009B7BC2">
        <w:rPr>
          <w:rFonts w:ascii="Arial" w:hAnsi="Arial" w:cs="Arial"/>
          <w:szCs w:val="20"/>
        </w:rPr>
        <w:t xml:space="preserve">rohn, colite ulcerosa, entre outras. </w:t>
      </w:r>
    </w:p>
    <w:p w:rsidR="009B7BC2" w:rsidRDefault="009B7BC2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9B7BC2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9B7BC2">
        <w:rPr>
          <w:rFonts w:ascii="Arial" w:hAnsi="Arial" w:cs="Arial"/>
          <w:szCs w:val="20"/>
        </w:rPr>
        <w:t>Na prática, com o uso do Cordão Girassol as equipes de atendimento de supermercados, bancos, farmácias, bares, restaurantes, lojas, consultórios ou outros tipos de estabelecimentos que trabalham c</w:t>
      </w:r>
      <w:r w:rsidRPr="009B7BC2">
        <w:rPr>
          <w:rFonts w:ascii="Arial" w:hAnsi="Arial" w:cs="Arial"/>
          <w:szCs w:val="20"/>
        </w:rPr>
        <w:t>om o público, devem priorizar a assistência a esse cliente e aos acompanhantes dele. A utilização do cordão é capaz de evitar ou amenizar situações de alto estresse em filas e atrasos, tornando a experiência dessas pessoas mais tranquila. </w:t>
      </w:r>
    </w:p>
    <w:p w:rsidR="00A25027" w:rsidRDefault="00A25027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A25027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A25027">
        <w:rPr>
          <w:rFonts w:ascii="Arial" w:hAnsi="Arial" w:cs="Arial"/>
          <w:szCs w:val="20"/>
        </w:rPr>
        <w:t>A iniciativa</w:t>
      </w:r>
      <w:r>
        <w:rPr>
          <w:rFonts w:ascii="Arial" w:hAnsi="Arial" w:cs="Arial"/>
          <w:szCs w:val="20"/>
        </w:rPr>
        <w:t xml:space="preserve"> d</w:t>
      </w:r>
      <w:r>
        <w:rPr>
          <w:rFonts w:ascii="Arial" w:hAnsi="Arial" w:cs="Arial"/>
          <w:szCs w:val="20"/>
        </w:rPr>
        <w:t>o uso do colar</w:t>
      </w:r>
      <w:r w:rsidRPr="00A25027">
        <w:rPr>
          <w:rFonts w:ascii="Arial" w:hAnsi="Arial" w:cs="Arial"/>
          <w:szCs w:val="20"/>
        </w:rPr>
        <w:t xml:space="preserve"> surgiu em 2016, por funcionários do aeroporto Gatwick, em Londres, que criaram e fizeram do Cordão Girassol um símbolo de apoio para pessoas com deficiências ocultas. Alguns estados brasileiros como Espírito Santo, São Paulo, Amapá, Rio de J</w:t>
      </w:r>
      <w:r w:rsidRPr="00A25027">
        <w:rPr>
          <w:rFonts w:ascii="Arial" w:hAnsi="Arial" w:cs="Arial"/>
          <w:szCs w:val="20"/>
        </w:rPr>
        <w:t>aneiro, Sergipe e Mato Grosso, além do Distrito Federal, já sancionaram leis que dispõem sobre o uso do Colar Girassol.</w:t>
      </w:r>
    </w:p>
    <w:p w:rsidR="00A25027" w:rsidRDefault="00A25027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A25027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Diante disso, com o escopo de trazer melhorias e facilitar o acesso das pessoas com deficiência no atendimento prioritário, </w:t>
      </w:r>
      <w:r w:rsidR="00944043">
        <w:rPr>
          <w:rFonts w:ascii="Arial" w:hAnsi="Arial" w:cs="Arial"/>
          <w:szCs w:val="20"/>
        </w:rPr>
        <w:t>peço voto favorável dos nobres pares.</w:t>
      </w:r>
    </w:p>
    <w:p w:rsidR="00944043" w:rsidRDefault="00944043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944043" w:rsidRDefault="002D372C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Sala das Sessões, em 14 de agosto de 2023.</w:t>
      </w:r>
    </w:p>
    <w:p w:rsidR="00944043" w:rsidRDefault="00944043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944043" w:rsidRDefault="00944043" w:rsidP="00464027">
      <w:pPr>
        <w:pStyle w:val="western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944043" w:rsidRPr="00944043" w:rsidRDefault="002D372C" w:rsidP="00944043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  <w:r w:rsidRPr="00944043">
        <w:rPr>
          <w:rFonts w:ascii="Arial" w:hAnsi="Arial" w:cs="Arial"/>
          <w:b/>
          <w:szCs w:val="20"/>
        </w:rPr>
        <w:t>DR. AFONSO BRESSANIN</w:t>
      </w:r>
    </w:p>
    <w:p w:rsidR="00944043" w:rsidRPr="00050A99" w:rsidRDefault="002D372C" w:rsidP="00944043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Vereador</w:t>
      </w:r>
    </w:p>
    <w:p w:rsidR="00392B74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9B7BC2" w:rsidRPr="00050A99" w:rsidRDefault="009B7BC2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Pr="00050A99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Cs w:val="20"/>
        </w:rPr>
      </w:pPr>
    </w:p>
    <w:p w:rsidR="00392B74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92B74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92B74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92B74" w:rsidRDefault="00392B74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BF27E5" w:rsidRPr="00944043" w:rsidRDefault="002D372C" w:rsidP="00BF27E5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44043">
        <w:rPr>
          <w:rFonts w:ascii="Arial" w:hAnsi="Arial" w:cs="Arial"/>
          <w:b/>
          <w:sz w:val="20"/>
          <w:szCs w:val="20"/>
        </w:rPr>
        <w:t>ANEXO ÚNICO</w:t>
      </w:r>
    </w:p>
    <w:p w:rsidR="00955B95" w:rsidRPr="00944043" w:rsidRDefault="00955B95" w:rsidP="00BF27E5">
      <w:pPr>
        <w:pStyle w:val="western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345EB" w:rsidRDefault="002D372C" w:rsidP="00955B95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166370</wp:posOffset>
            </wp:positionV>
            <wp:extent cx="5950585" cy="3068320"/>
            <wp:effectExtent l="0" t="0" r="0" b="0"/>
            <wp:wrapSquare wrapText="bothSides"/>
            <wp:docPr id="2" name="Imagem 2" descr="PBH sanciona lei para uso de cordão que identifica pessoa com deficiência ocu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80710" name="Picture 2" descr="PBH sanciona lei para uso de cordão que identifica pessoa com deficiência ocul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E5" w:rsidRPr="00BF27E5">
        <w:rPr>
          <w:rFonts w:ascii="Arial" w:hAnsi="Arial" w:cs="Arial"/>
          <w:sz w:val="20"/>
          <w:szCs w:val="20"/>
        </w:rPr>
        <w:t>Modelo do cordão de girassol:</w:t>
      </w:r>
    </w:p>
    <w:p w:rsidR="00944043" w:rsidRDefault="00944043" w:rsidP="00955B95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44043" w:rsidRDefault="00944043" w:rsidP="00955B95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F27E5" w:rsidRPr="00BF27E5" w:rsidRDefault="00BF27E5" w:rsidP="00944043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bCs w:val="0"/>
          <w:sz w:val="20"/>
          <w:szCs w:val="20"/>
        </w:rPr>
      </w:pPr>
    </w:p>
    <w:sectPr w:rsidR="00BF27E5" w:rsidRPr="00BF27E5" w:rsidSect="00050A99">
      <w:headerReference w:type="default" r:id="rId9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2C" w:rsidRDefault="002D372C">
      <w:pPr>
        <w:spacing w:after="0" w:line="240" w:lineRule="auto"/>
      </w:pPr>
      <w:r>
        <w:separator/>
      </w:r>
    </w:p>
  </w:endnote>
  <w:endnote w:type="continuationSeparator" w:id="0">
    <w:p w:rsidR="002D372C" w:rsidRDefault="002D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2C" w:rsidRDefault="002D372C">
      <w:pPr>
        <w:spacing w:after="0" w:line="240" w:lineRule="auto"/>
      </w:pPr>
      <w:r>
        <w:separator/>
      </w:r>
    </w:p>
  </w:footnote>
  <w:footnote w:type="continuationSeparator" w:id="0">
    <w:p w:rsidR="002D372C" w:rsidRDefault="002D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41" w:rsidRDefault="002D372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68"/>
    <w:rsid w:val="00014CD6"/>
    <w:rsid w:val="00026195"/>
    <w:rsid w:val="00050A99"/>
    <w:rsid w:val="00072E81"/>
    <w:rsid w:val="000761E0"/>
    <w:rsid w:val="000876F0"/>
    <w:rsid w:val="00090AAB"/>
    <w:rsid w:val="00120ED7"/>
    <w:rsid w:val="00126017"/>
    <w:rsid w:val="001268CC"/>
    <w:rsid w:val="001651B8"/>
    <w:rsid w:val="00187328"/>
    <w:rsid w:val="001C41F4"/>
    <w:rsid w:val="001C5BEF"/>
    <w:rsid w:val="002211E7"/>
    <w:rsid w:val="00226595"/>
    <w:rsid w:val="002345EB"/>
    <w:rsid w:val="002847D1"/>
    <w:rsid w:val="002C6724"/>
    <w:rsid w:val="002D372C"/>
    <w:rsid w:val="0033009F"/>
    <w:rsid w:val="003413C4"/>
    <w:rsid w:val="00344341"/>
    <w:rsid w:val="003610EF"/>
    <w:rsid w:val="00392B74"/>
    <w:rsid w:val="003C28E3"/>
    <w:rsid w:val="003F7E71"/>
    <w:rsid w:val="004341E9"/>
    <w:rsid w:val="00442DAB"/>
    <w:rsid w:val="00457D66"/>
    <w:rsid w:val="00464027"/>
    <w:rsid w:val="004A3907"/>
    <w:rsid w:val="00534C95"/>
    <w:rsid w:val="00575027"/>
    <w:rsid w:val="005768EC"/>
    <w:rsid w:val="005A620A"/>
    <w:rsid w:val="005D408E"/>
    <w:rsid w:val="00602DD9"/>
    <w:rsid w:val="0064580B"/>
    <w:rsid w:val="00663601"/>
    <w:rsid w:val="00672312"/>
    <w:rsid w:val="006D1F70"/>
    <w:rsid w:val="00705B00"/>
    <w:rsid w:val="00743FB4"/>
    <w:rsid w:val="007543A7"/>
    <w:rsid w:val="007803E1"/>
    <w:rsid w:val="0081031E"/>
    <w:rsid w:val="00810D81"/>
    <w:rsid w:val="00824FD0"/>
    <w:rsid w:val="0084167A"/>
    <w:rsid w:val="0087126D"/>
    <w:rsid w:val="008C2473"/>
    <w:rsid w:val="008E16C0"/>
    <w:rsid w:val="008E7059"/>
    <w:rsid w:val="00900EBD"/>
    <w:rsid w:val="00940410"/>
    <w:rsid w:val="00940A90"/>
    <w:rsid w:val="00944043"/>
    <w:rsid w:val="00955B95"/>
    <w:rsid w:val="009A3281"/>
    <w:rsid w:val="009B7BC2"/>
    <w:rsid w:val="009C315E"/>
    <w:rsid w:val="009D27A5"/>
    <w:rsid w:val="00A214AE"/>
    <w:rsid w:val="00A25027"/>
    <w:rsid w:val="00A33E87"/>
    <w:rsid w:val="00A359DE"/>
    <w:rsid w:val="00A42C67"/>
    <w:rsid w:val="00A501F4"/>
    <w:rsid w:val="00AA6A63"/>
    <w:rsid w:val="00AD6865"/>
    <w:rsid w:val="00B0480F"/>
    <w:rsid w:val="00B07AD2"/>
    <w:rsid w:val="00B206F0"/>
    <w:rsid w:val="00B20E1F"/>
    <w:rsid w:val="00B43126"/>
    <w:rsid w:val="00B4492F"/>
    <w:rsid w:val="00B84163"/>
    <w:rsid w:val="00BC7EB2"/>
    <w:rsid w:val="00BD4B65"/>
    <w:rsid w:val="00BE3B92"/>
    <w:rsid w:val="00BF27E5"/>
    <w:rsid w:val="00C048B5"/>
    <w:rsid w:val="00C054D0"/>
    <w:rsid w:val="00C371D9"/>
    <w:rsid w:val="00C40A68"/>
    <w:rsid w:val="00D37084"/>
    <w:rsid w:val="00D60B9B"/>
    <w:rsid w:val="00E07E76"/>
    <w:rsid w:val="00E46776"/>
    <w:rsid w:val="00E87A1D"/>
    <w:rsid w:val="00E92E7F"/>
    <w:rsid w:val="00EC65A0"/>
    <w:rsid w:val="00ED1CD6"/>
    <w:rsid w:val="00EF271F"/>
    <w:rsid w:val="00EF3061"/>
    <w:rsid w:val="00F102F5"/>
    <w:rsid w:val="00F5313D"/>
    <w:rsid w:val="00F62FCA"/>
    <w:rsid w:val="00F91CE6"/>
    <w:rsid w:val="00FA565F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A691-C972-41E4-B91F-52C3656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6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04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link w:val="Ttulo2Char"/>
    <w:uiPriority w:val="9"/>
    <w:qFormat/>
    <w:rsid w:val="00C04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link w:val="Ttulo3Char"/>
    <w:uiPriority w:val="9"/>
    <w:qFormat/>
    <w:rsid w:val="00C04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651B8"/>
    <w:rPr>
      <w:b/>
      <w:bCs/>
    </w:rPr>
  </w:style>
  <w:style w:type="paragraph" w:customStyle="1" w:styleId="western">
    <w:name w:val="western"/>
    <w:basedOn w:val="Normal"/>
    <w:rsid w:val="00165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651B8"/>
    <w:rPr>
      <w:i/>
      <w:iCs/>
    </w:rPr>
  </w:style>
  <w:style w:type="character" w:customStyle="1" w:styleId="Ttulo1Char">
    <w:name w:val="Título 1 Char"/>
    <w:link w:val="Ttulo1"/>
    <w:uiPriority w:val="9"/>
    <w:rsid w:val="00C048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C048B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C048B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Fontepargpadro"/>
    <w:rsid w:val="0084167A"/>
  </w:style>
  <w:style w:type="paragraph" w:styleId="SemEspaamento">
    <w:name w:val="No Spacing"/>
    <w:uiPriority w:val="1"/>
    <w:qFormat/>
    <w:rsid w:val="00743FB4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B7B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A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efeitura.pbh.gov.br/sites/default/files/styles/slideshow/public/estrutura-de-governo/WhatsApp%20Image%202023-01-02%20at%2010.57.43.jpg?itok=oyYmwtQ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1D73-4C8E-41A3-B907-60E6989A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Agostini</dc:creator>
  <cp:lastModifiedBy>Rodolfo</cp:lastModifiedBy>
  <cp:revision>5</cp:revision>
  <cp:lastPrinted>2023-08-14T14:39:00Z</cp:lastPrinted>
  <dcterms:created xsi:type="dcterms:W3CDTF">2023-08-14T14:32:00Z</dcterms:created>
  <dcterms:modified xsi:type="dcterms:W3CDTF">2023-08-14T14:41:00Z</dcterms:modified>
</cp:coreProperties>
</file>