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0D92">
        <w:rPr>
          <w:rFonts w:ascii="Arial" w:hAnsi="Arial" w:cs="Arial"/>
          <w:b/>
          <w:sz w:val="36"/>
          <w:szCs w:val="36"/>
        </w:rPr>
        <w:t>3</w:t>
      </w:r>
      <w:r w:rsidR="00557766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557766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557766">
        <w:rPr>
          <w:rFonts w:ascii="Arial" w:hAnsi="Arial" w:cs="Arial"/>
          <w:b/>
          <w:bCs/>
          <w:iCs/>
          <w:sz w:val="26"/>
          <w:szCs w:val="26"/>
        </w:rPr>
        <w:t>Autoriza o Poder Executivo a conceder subvenções sociais às entidades sem fins lucrativos que especifica, nos termos do artigo 14 da Lei Municipal n° 3.466/2022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951C4">
        <w:rPr>
          <w:rFonts w:ascii="Arial" w:hAnsi="Arial" w:cs="Arial"/>
          <w:szCs w:val="26"/>
        </w:rPr>
        <w:t>21 de Novembro</w:t>
      </w:r>
      <w:r w:rsidR="009966D0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557766" w:rsidRDefault="00557766" w:rsidP="00557766">
      <w:pPr>
        <w:spacing w:line="360" w:lineRule="exact"/>
        <w:ind w:firstLine="1701"/>
        <w:jc w:val="both"/>
        <w:rPr>
          <w:rFonts w:ascii="Tahoma" w:hAnsi="Tahoma" w:cs="Tahoma"/>
          <w:b/>
        </w:rPr>
      </w:pPr>
    </w:p>
    <w:p w:rsidR="00557766" w:rsidRDefault="00557766" w:rsidP="00557766">
      <w:pPr>
        <w:spacing w:line="360" w:lineRule="exact"/>
        <w:ind w:firstLine="1701"/>
        <w:jc w:val="both"/>
        <w:rPr>
          <w:rFonts w:ascii="Tahoma" w:hAnsi="Tahoma" w:cs="Tahoma"/>
          <w:iCs/>
        </w:rPr>
      </w:pPr>
      <w:bookmarkStart w:id="0" w:name="_GoBack"/>
      <w:bookmarkEnd w:id="0"/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>
        <w:rPr>
          <w:rFonts w:ascii="Tahoma" w:hAnsi="Tahoma" w:cs="Tahoma"/>
        </w:rPr>
        <w:t>23</w:t>
      </w:r>
      <w:r w:rsidRPr="003B76FF">
        <w:rPr>
          <w:rFonts w:ascii="Tahoma" w:hAnsi="Tahoma" w:cs="Tahoma"/>
        </w:rPr>
        <w:t>, subvenções sociais à</w:t>
      </w:r>
      <w:r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sem fins lucrativos</w:t>
      </w:r>
      <w:r>
        <w:rPr>
          <w:rFonts w:ascii="Tahoma" w:hAnsi="Tahoma" w:cs="Tahoma"/>
          <w:iCs/>
        </w:rPr>
        <w:t xml:space="preserve"> relacionadas abaixo, nos respectivos valores:</w:t>
      </w:r>
    </w:p>
    <w:p w:rsidR="00557766" w:rsidRDefault="00557766" w:rsidP="00557766">
      <w:pPr>
        <w:spacing w:line="360" w:lineRule="exact"/>
        <w:ind w:firstLine="1701"/>
        <w:jc w:val="both"/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22"/>
        <w:gridCol w:w="2823"/>
      </w:tblGrid>
      <w:tr w:rsidR="00557766" w:rsidRPr="004440D9" w:rsidTr="00D12963">
        <w:tc>
          <w:tcPr>
            <w:tcW w:w="3510" w:type="dxa"/>
          </w:tcPr>
          <w:p w:rsidR="00557766" w:rsidRPr="004440D9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ENTIDADE</w:t>
            </w:r>
          </w:p>
        </w:tc>
        <w:tc>
          <w:tcPr>
            <w:tcW w:w="2422" w:type="dxa"/>
          </w:tcPr>
          <w:p w:rsidR="00557766" w:rsidRPr="004440D9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CNPJ</w:t>
            </w:r>
          </w:p>
        </w:tc>
        <w:tc>
          <w:tcPr>
            <w:tcW w:w="2823" w:type="dxa"/>
          </w:tcPr>
          <w:p w:rsidR="00557766" w:rsidRPr="004440D9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b/>
                <w:snapToGrid w:val="0"/>
              </w:rPr>
              <w:t>VALOR A SER REPASSADO EM 2023</w:t>
            </w: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Associação do Hospital e Maternidade São José de Barra Bonita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44.745.024/0001-45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>
              <w:rPr>
                <w:rFonts w:ascii="Tahoma" w:hAnsi="Tahoma" w:cs="Tahoma"/>
                <w:snapToGrid w:val="0"/>
              </w:rPr>
              <w:t>712.800,00</w:t>
            </w: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Associação Voluntariado de Barra Bonita – Grupo de Prevenção e Tratamento do Câncer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02.271.157/0001-87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>
              <w:rPr>
                <w:rFonts w:ascii="Tahoma" w:hAnsi="Tahoma" w:cs="Tahoma"/>
                <w:snapToGrid w:val="0"/>
              </w:rPr>
              <w:t>264.000,00</w:t>
            </w: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Centro Espírita Cristão – Lar de Amparo à Velhice e à Infância de Barra Bonita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44.746.972/0001-03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>
              <w:rPr>
                <w:rFonts w:ascii="Tahoma" w:hAnsi="Tahoma" w:cs="Tahoma"/>
                <w:snapToGrid w:val="0"/>
              </w:rPr>
              <w:t>264.000,00</w:t>
            </w: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Clube da 3ª Idade de Barra Bonita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04.331.383/0001-31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>
              <w:rPr>
                <w:rFonts w:ascii="Tahoma" w:hAnsi="Tahoma" w:cs="Tahoma"/>
                <w:snapToGrid w:val="0"/>
              </w:rPr>
              <w:t>252.000,00</w:t>
            </w:r>
          </w:p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Grupo Escoteiro Campos Salles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00.400.583/0001-48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>
              <w:rPr>
                <w:rFonts w:ascii="Tahoma" w:hAnsi="Tahoma" w:cs="Tahoma"/>
                <w:snapToGrid w:val="0"/>
              </w:rPr>
              <w:t>48</w:t>
            </w:r>
            <w:r w:rsidRPr="006749E0">
              <w:rPr>
                <w:rFonts w:ascii="Tahoma" w:hAnsi="Tahoma" w:cs="Tahoma"/>
                <w:snapToGrid w:val="0"/>
              </w:rPr>
              <w:t>.000,00</w:t>
            </w: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Lar São Vicente de Paulo de Barra Bonita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46.183.612/0001-68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R$ </w:t>
            </w:r>
            <w:r>
              <w:rPr>
                <w:rFonts w:ascii="Tahoma" w:hAnsi="Tahoma" w:cs="Tahoma"/>
                <w:snapToGrid w:val="0"/>
              </w:rPr>
              <w:t>264.000,00</w:t>
            </w: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 xml:space="preserve">Associação Beneficente Thereza </w:t>
            </w:r>
            <w:proofErr w:type="spellStart"/>
            <w:r w:rsidRPr="006749E0">
              <w:rPr>
                <w:rFonts w:ascii="Tahoma" w:hAnsi="Tahoma" w:cs="Tahoma"/>
                <w:snapToGrid w:val="0"/>
              </w:rPr>
              <w:t>Perlatti</w:t>
            </w:r>
            <w:proofErr w:type="spellEnd"/>
            <w:r w:rsidRPr="006749E0">
              <w:rPr>
                <w:rFonts w:ascii="Tahoma" w:hAnsi="Tahoma" w:cs="Tahoma"/>
                <w:snapToGrid w:val="0"/>
              </w:rPr>
              <w:t xml:space="preserve"> de Jaú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50.756.600/0001-52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R$ 6</w:t>
            </w:r>
            <w:r>
              <w:rPr>
                <w:rFonts w:ascii="Tahoma" w:hAnsi="Tahoma" w:cs="Tahoma"/>
                <w:snapToGrid w:val="0"/>
              </w:rPr>
              <w:t>6</w:t>
            </w:r>
            <w:r w:rsidRPr="006749E0">
              <w:rPr>
                <w:rFonts w:ascii="Tahoma" w:hAnsi="Tahoma" w:cs="Tahoma"/>
                <w:snapToGrid w:val="0"/>
              </w:rPr>
              <w:t>.000,00</w:t>
            </w:r>
          </w:p>
        </w:tc>
      </w:tr>
      <w:tr w:rsidR="00557766" w:rsidRPr="004440D9" w:rsidTr="00D12963">
        <w:tc>
          <w:tcPr>
            <w:tcW w:w="3510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Casa da Criança de Barra Bonita</w:t>
            </w:r>
          </w:p>
        </w:tc>
        <w:tc>
          <w:tcPr>
            <w:tcW w:w="2422" w:type="dxa"/>
          </w:tcPr>
          <w:p w:rsidR="00557766" w:rsidRPr="006749E0" w:rsidRDefault="00557766" w:rsidP="00D12963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44.745.909/0001-44</w:t>
            </w:r>
          </w:p>
        </w:tc>
        <w:tc>
          <w:tcPr>
            <w:tcW w:w="2823" w:type="dxa"/>
          </w:tcPr>
          <w:p w:rsidR="00557766" w:rsidRPr="006749E0" w:rsidRDefault="00557766" w:rsidP="00D12963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R$ 300.000,00</w:t>
            </w:r>
          </w:p>
        </w:tc>
      </w:tr>
    </w:tbl>
    <w:p w:rsidR="00557766" w:rsidRPr="003B76FF" w:rsidRDefault="00557766" w:rsidP="00557766">
      <w:pPr>
        <w:spacing w:line="360" w:lineRule="exact"/>
        <w:jc w:val="both"/>
        <w:rPr>
          <w:rFonts w:ascii="Tahoma" w:hAnsi="Tahoma" w:cs="Tahoma"/>
        </w:rPr>
      </w:pPr>
    </w:p>
    <w:p w:rsidR="00557766" w:rsidRPr="003B76FF" w:rsidRDefault="00557766" w:rsidP="00557766">
      <w:pPr>
        <w:spacing w:line="36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lastRenderedPageBreak/>
        <w:t>Parágrafo único</w:t>
      </w:r>
      <w:r w:rsidRPr="003B76FF">
        <w:rPr>
          <w:rFonts w:ascii="Tahoma" w:hAnsi="Tahoma" w:cs="Tahoma"/>
        </w:rPr>
        <w:t>. Os recursos de que trata este artigo deverão ser aplicados pela</w:t>
      </w:r>
      <w:r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557766" w:rsidRPr="0027331C" w:rsidRDefault="00557766" w:rsidP="00557766">
      <w:pPr>
        <w:spacing w:line="360" w:lineRule="exact"/>
        <w:ind w:firstLine="1701"/>
        <w:jc w:val="both"/>
        <w:rPr>
          <w:rFonts w:ascii="Tahoma" w:hAnsi="Tahoma" w:cs="Tahoma"/>
        </w:rPr>
      </w:pPr>
    </w:p>
    <w:p w:rsidR="00557766" w:rsidRPr="0027331C" w:rsidRDefault="00557766" w:rsidP="00557766">
      <w:pPr>
        <w:spacing w:line="3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entidade</w:t>
      </w:r>
      <w:r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beneficiada</w:t>
      </w:r>
      <w:r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dever</w:t>
      </w:r>
      <w:r>
        <w:rPr>
          <w:rFonts w:ascii="Tahoma" w:hAnsi="Tahoma" w:cs="Tahoma"/>
        </w:rPr>
        <w:t>ão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 13.019, de 31 de julho de 2014.</w:t>
      </w:r>
    </w:p>
    <w:p w:rsidR="00557766" w:rsidRPr="0027331C" w:rsidRDefault="00557766" w:rsidP="00557766">
      <w:pPr>
        <w:spacing w:line="360" w:lineRule="exact"/>
        <w:ind w:firstLine="1701"/>
        <w:jc w:val="both"/>
        <w:rPr>
          <w:rFonts w:ascii="Tahoma" w:hAnsi="Tahoma" w:cs="Tahoma"/>
        </w:rPr>
      </w:pPr>
    </w:p>
    <w:p w:rsidR="00557766" w:rsidRPr="0027331C" w:rsidRDefault="00557766" w:rsidP="00557766">
      <w:pPr>
        <w:spacing w:line="3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3º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20</w:t>
      </w:r>
      <w:r>
        <w:rPr>
          <w:rFonts w:ascii="Tahoma" w:hAnsi="Tahoma" w:cs="Tahoma"/>
        </w:rPr>
        <w:t>23</w:t>
      </w:r>
      <w:r w:rsidRPr="0027331C">
        <w:rPr>
          <w:rFonts w:ascii="Tahoma" w:hAnsi="Tahoma" w:cs="Tahoma"/>
        </w:rPr>
        <w:t>, suplementadas se necessário.</w:t>
      </w:r>
    </w:p>
    <w:p w:rsidR="00557766" w:rsidRPr="003B76FF" w:rsidRDefault="00557766" w:rsidP="00557766">
      <w:pPr>
        <w:spacing w:line="360" w:lineRule="exact"/>
        <w:jc w:val="both"/>
        <w:rPr>
          <w:rFonts w:ascii="Tahoma" w:hAnsi="Tahoma" w:cs="Tahoma"/>
        </w:rPr>
      </w:pPr>
    </w:p>
    <w:p w:rsidR="00557766" w:rsidRPr="003B76FF" w:rsidRDefault="00557766" w:rsidP="00557766">
      <w:pPr>
        <w:spacing w:line="3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557766" w:rsidRPr="005841D8" w:rsidRDefault="00557766" w:rsidP="00557766">
      <w:pPr>
        <w:spacing w:line="360" w:lineRule="exact"/>
        <w:jc w:val="both"/>
        <w:rPr>
          <w:rFonts w:ascii="Tahoma" w:hAnsi="Tahoma" w:cs="Tahoma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951C4">
        <w:rPr>
          <w:rFonts w:ascii="Arial" w:hAnsi="Arial" w:cs="Arial"/>
          <w:szCs w:val="26"/>
        </w:rPr>
        <w:t>22 de Novembro</w:t>
      </w:r>
      <w:r w:rsidR="00CD0D92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2022-11-22T11:59:00Z</cp:lastPrinted>
  <dcterms:created xsi:type="dcterms:W3CDTF">2022-11-22T11:58:00Z</dcterms:created>
  <dcterms:modified xsi:type="dcterms:W3CDTF">2022-11-22T12:06:00Z</dcterms:modified>
</cp:coreProperties>
</file>