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E1" w:rsidRPr="00980B4F" w:rsidRDefault="00F968D5" w:rsidP="00980B4F">
      <w:pPr>
        <w:pStyle w:val="NormalWeb"/>
        <w:shd w:val="clear" w:color="auto" w:fill="FFFFFF"/>
        <w:jc w:val="center"/>
        <w:rPr>
          <w:rFonts w:ascii="Arial" w:hAnsi="Arial" w:cs="Arial"/>
          <w:b/>
          <w:sz w:val="36"/>
          <w:szCs w:val="32"/>
        </w:rPr>
      </w:pPr>
      <w:r w:rsidRPr="00980B4F">
        <w:rPr>
          <w:rFonts w:ascii="Arial" w:hAnsi="Arial" w:cs="Arial"/>
          <w:b/>
          <w:sz w:val="36"/>
          <w:szCs w:val="32"/>
        </w:rPr>
        <w:t xml:space="preserve">AUTÓGRAFO DE LEI </w:t>
      </w:r>
      <w:r w:rsidR="00AB5B2B" w:rsidRPr="00980B4F">
        <w:rPr>
          <w:rFonts w:ascii="Arial" w:hAnsi="Arial" w:cs="Arial"/>
          <w:b/>
          <w:sz w:val="36"/>
          <w:szCs w:val="32"/>
        </w:rPr>
        <w:t>COMPLEMENTAR N</w:t>
      </w:r>
      <w:r w:rsidR="005348E1" w:rsidRPr="00980B4F">
        <w:rPr>
          <w:rFonts w:ascii="Arial" w:hAnsi="Arial" w:cs="Arial"/>
          <w:b/>
          <w:sz w:val="36"/>
          <w:szCs w:val="32"/>
        </w:rPr>
        <w:t xml:space="preserve">º </w:t>
      </w:r>
      <w:r w:rsidR="00B828F3">
        <w:rPr>
          <w:rFonts w:ascii="Arial" w:hAnsi="Arial" w:cs="Arial"/>
          <w:b/>
          <w:sz w:val="36"/>
          <w:szCs w:val="32"/>
        </w:rPr>
        <w:t>1</w:t>
      </w:r>
      <w:r w:rsidR="005970A9">
        <w:rPr>
          <w:rFonts w:ascii="Arial" w:hAnsi="Arial" w:cs="Arial"/>
          <w:b/>
          <w:sz w:val="36"/>
          <w:szCs w:val="32"/>
        </w:rPr>
        <w:t>2</w:t>
      </w:r>
      <w:r w:rsidR="00024FC4">
        <w:rPr>
          <w:rFonts w:ascii="Arial" w:hAnsi="Arial" w:cs="Arial"/>
          <w:b/>
          <w:sz w:val="36"/>
          <w:szCs w:val="32"/>
        </w:rPr>
        <w:t>/2022</w:t>
      </w:r>
    </w:p>
    <w:p w:rsidR="00D81254" w:rsidRPr="00980B4F" w:rsidRDefault="005970A9" w:rsidP="002933AF">
      <w:pPr>
        <w:ind w:left="3540"/>
        <w:jc w:val="both"/>
        <w:rPr>
          <w:rFonts w:ascii="Arial" w:hAnsi="Arial" w:cs="Arial"/>
          <w:b/>
          <w:sz w:val="28"/>
          <w:szCs w:val="28"/>
        </w:rPr>
      </w:pPr>
      <w:r w:rsidRPr="005970A9">
        <w:rPr>
          <w:rFonts w:ascii="Arial" w:hAnsi="Arial" w:cs="Arial"/>
          <w:b/>
          <w:bCs/>
          <w:iCs/>
          <w:sz w:val="26"/>
          <w:szCs w:val="26"/>
        </w:rPr>
        <w:t>Dispõe sobre a criação do Sistema de Controle Interno do Serviço Autônomo de Água e Esgoto de Barra Bonita/SP, e dá outras providências.</w:t>
      </w:r>
    </w:p>
    <w:p w:rsidR="00FB034C" w:rsidRDefault="00FB034C" w:rsidP="00FB034C">
      <w:pPr>
        <w:spacing w:line="320" w:lineRule="exact"/>
        <w:ind w:firstLine="851"/>
        <w:jc w:val="both"/>
        <w:rPr>
          <w:rFonts w:ascii="Arial" w:hAnsi="Arial" w:cs="Arial"/>
        </w:rPr>
      </w:pPr>
    </w:p>
    <w:p w:rsidR="00FB034C" w:rsidRDefault="00FB034C" w:rsidP="00FB034C">
      <w:pPr>
        <w:spacing w:line="320" w:lineRule="exact"/>
        <w:ind w:firstLine="851"/>
        <w:jc w:val="both"/>
        <w:rPr>
          <w:rFonts w:ascii="Arial" w:hAnsi="Arial" w:cs="Arial"/>
        </w:rPr>
      </w:pPr>
      <w:r w:rsidRPr="00980B4F">
        <w:rPr>
          <w:rFonts w:ascii="Arial" w:hAnsi="Arial" w:cs="Arial"/>
        </w:rPr>
        <w:t xml:space="preserve">A CÂMARA MUNICIPAL DA ESTÂNCIA TURÍSTICA DE BARRA BONITA, em sessão ordinária realizada em </w:t>
      </w:r>
      <w:r w:rsidR="005970A9">
        <w:rPr>
          <w:rFonts w:ascii="Arial" w:hAnsi="Arial" w:cs="Arial"/>
        </w:rPr>
        <w:t>07</w:t>
      </w:r>
      <w:r w:rsidR="00B828F3">
        <w:rPr>
          <w:rFonts w:ascii="Arial" w:hAnsi="Arial" w:cs="Arial"/>
        </w:rPr>
        <w:t xml:space="preserve"> </w:t>
      </w:r>
      <w:r w:rsidR="0036637A">
        <w:rPr>
          <w:rFonts w:ascii="Arial" w:hAnsi="Arial" w:cs="Arial"/>
        </w:rPr>
        <w:t>de</w:t>
      </w:r>
      <w:r w:rsidR="00B828F3">
        <w:rPr>
          <w:rFonts w:ascii="Arial" w:hAnsi="Arial" w:cs="Arial"/>
        </w:rPr>
        <w:t xml:space="preserve"> </w:t>
      </w:r>
      <w:r w:rsidR="005970A9">
        <w:rPr>
          <w:rFonts w:ascii="Arial" w:hAnsi="Arial" w:cs="Arial"/>
        </w:rPr>
        <w:t>Novem</w:t>
      </w:r>
      <w:r w:rsidR="0036637A">
        <w:rPr>
          <w:rFonts w:ascii="Arial" w:hAnsi="Arial" w:cs="Arial"/>
        </w:rPr>
        <w:t xml:space="preserve">bro </w:t>
      </w:r>
      <w:r>
        <w:rPr>
          <w:rFonts w:ascii="Arial" w:hAnsi="Arial" w:cs="Arial"/>
        </w:rPr>
        <w:t>de 2022</w:t>
      </w:r>
      <w:r w:rsidRPr="00980B4F">
        <w:rPr>
          <w:rFonts w:ascii="Arial" w:hAnsi="Arial" w:cs="Arial"/>
        </w:rPr>
        <w:t>, APROVOU:</w:t>
      </w:r>
    </w:p>
    <w:p w:rsidR="005970A9" w:rsidRPr="001970AF" w:rsidRDefault="005970A9" w:rsidP="005970A9">
      <w:pPr>
        <w:rPr>
          <w:rFonts w:ascii="Tahoma" w:hAnsi="Tahoma" w:cs="Tahoma"/>
          <w:b/>
        </w:rPr>
      </w:pPr>
      <w:bookmarkStart w:id="0" w:name="_fp7luv5zbvyq" w:colFirst="0" w:colLast="0"/>
      <w:bookmarkEnd w:id="0"/>
    </w:p>
    <w:p w:rsidR="005970A9" w:rsidRDefault="005970A9" w:rsidP="005970A9">
      <w:pPr>
        <w:ind w:firstLine="851"/>
        <w:rPr>
          <w:rFonts w:ascii="Tahoma" w:hAnsi="Tahoma" w:cs="Tahoma"/>
        </w:rPr>
      </w:pPr>
      <w:r w:rsidRPr="001970AF">
        <w:rPr>
          <w:rFonts w:ascii="Tahoma" w:hAnsi="Tahoma" w:cs="Tahoma"/>
          <w:b/>
          <w:bCs/>
        </w:rPr>
        <w:t xml:space="preserve">Art. 1º </w:t>
      </w:r>
      <w:r w:rsidRPr="001970AF">
        <w:rPr>
          <w:rFonts w:ascii="Tahoma" w:hAnsi="Tahoma" w:cs="Tahoma"/>
        </w:rPr>
        <w:t>Esta Lei dispõe sobre a criação do Sistema de Controle Interno do Serviço Autônomo de Água e Esgoto de Barra Bonita/SP.</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Art. 2º </w:t>
      </w:r>
      <w:r w:rsidRPr="001970AF">
        <w:rPr>
          <w:rFonts w:ascii="Tahoma" w:hAnsi="Tahoma" w:cs="Tahoma"/>
        </w:rPr>
        <w:t xml:space="preserve">Fica criada a Controladoria Interna do Serviço Autônomo de Água e Esgoto de Barra Bonita, como órgão central do Sistema de Controle Interno da Autarquia Municipal. </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bookmarkStart w:id="1" w:name="_GoBack"/>
      <w:r w:rsidRPr="001970AF">
        <w:rPr>
          <w:rFonts w:ascii="Tahoma" w:hAnsi="Tahoma" w:cs="Tahoma"/>
          <w:b/>
        </w:rPr>
        <w:t>§ 1</w:t>
      </w:r>
      <w:r w:rsidRPr="001970AF">
        <w:rPr>
          <w:rFonts w:ascii="Tahoma" w:hAnsi="Tahoma" w:cs="Tahoma"/>
          <w:b/>
          <w:vertAlign w:val="superscript"/>
        </w:rPr>
        <w:t>o</w:t>
      </w:r>
      <w:r w:rsidRPr="001970AF">
        <w:rPr>
          <w:rFonts w:ascii="Tahoma" w:hAnsi="Tahoma" w:cs="Tahoma"/>
        </w:rPr>
        <w:t xml:space="preserve"> A Controladoria ora instituída neste artigo terá um Controlador Interno, </w:t>
      </w:r>
      <w:bookmarkEnd w:id="1"/>
      <w:r w:rsidRPr="001970AF">
        <w:rPr>
          <w:rFonts w:ascii="Tahoma" w:hAnsi="Tahoma" w:cs="Tahoma"/>
        </w:rPr>
        <w:t>designado pelo Superintendente do Serviço Autônomo de Água e Esgoto de Barra Bonita/SP, dentre os servidores de carreira da Autarquia.</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 2º </w:t>
      </w:r>
      <w:r w:rsidRPr="001970AF">
        <w:rPr>
          <w:rFonts w:ascii="Tahoma" w:hAnsi="Tahoma" w:cs="Tahoma"/>
        </w:rPr>
        <w:t>O Controlador Interno não poderá constituir-se ordenador de despesas da Autarquia, nem estar nomeado em cargo comissionado, função de confiança e processos de sindicância e administrativo.</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3</w:t>
      </w:r>
      <w:r w:rsidRPr="001970AF">
        <w:rPr>
          <w:rFonts w:ascii="Tahoma" w:hAnsi="Tahoma" w:cs="Tahoma"/>
          <w:b/>
          <w:vertAlign w:val="superscript"/>
        </w:rPr>
        <w:t>o</w:t>
      </w:r>
      <w:r>
        <w:rPr>
          <w:rFonts w:ascii="Tahoma" w:hAnsi="Tahoma" w:cs="Tahoma"/>
        </w:rPr>
        <w:t xml:space="preserve"> </w:t>
      </w:r>
      <w:r w:rsidRPr="001970AF">
        <w:rPr>
          <w:rFonts w:ascii="Tahoma" w:hAnsi="Tahoma" w:cs="Tahoma"/>
        </w:rPr>
        <w:t>As atividades previstas neste artigo serão atribuídas à pessoa capacitada e com conhecimentos específicos.</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 4º </w:t>
      </w:r>
      <w:r w:rsidRPr="001970AF">
        <w:rPr>
          <w:rFonts w:ascii="Tahoma" w:hAnsi="Tahoma" w:cs="Tahoma"/>
        </w:rPr>
        <w:t>Será atribuída ao Controlador Interno uma gratificação de função correspondente a 30% (trinta por cento), calculada sobre o seu salário base, ficando vedado o recebimento de horas extraordinárias.</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Art. 3º </w:t>
      </w:r>
      <w:r w:rsidRPr="001970AF">
        <w:rPr>
          <w:rFonts w:ascii="Tahoma" w:hAnsi="Tahoma" w:cs="Tahoma"/>
        </w:rPr>
        <w:t>A Controladoria Interna da Autarquia, sem prejuízo das atribuições constitucionais e organizacionais, tem as seguintes atribuições:</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I </w:t>
      </w:r>
      <w:r w:rsidRPr="001970AF">
        <w:rPr>
          <w:rFonts w:ascii="Tahoma" w:hAnsi="Tahoma" w:cs="Tahoma"/>
        </w:rPr>
        <w:t xml:space="preserve">- coordenar as atividades relacionadas com o Sistema de Controle Interno, promover a integração operacional e orientar a elaboração dos atos normativos sobre procedimentos de controle; </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II </w:t>
      </w:r>
      <w:r w:rsidRPr="001970AF">
        <w:rPr>
          <w:rFonts w:ascii="Tahoma" w:hAnsi="Tahoma" w:cs="Tahoma"/>
        </w:rPr>
        <w:t xml:space="preserve">- 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 </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lastRenderedPageBreak/>
        <w:t xml:space="preserve">III </w:t>
      </w:r>
      <w:r w:rsidRPr="001970AF">
        <w:rPr>
          <w:rFonts w:ascii="Tahoma" w:hAnsi="Tahoma" w:cs="Tahoma"/>
        </w:rPr>
        <w:t xml:space="preserve">- assessorar a administração nos aspectos relacionados com os controles interno e externo e quanto à legalidade dos atos de gestão, emitindo relatórios e pareceres sobre os mesmos; </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IV </w:t>
      </w:r>
      <w:r w:rsidRPr="001970AF">
        <w:rPr>
          <w:rFonts w:ascii="Tahoma" w:hAnsi="Tahoma" w:cs="Tahoma"/>
        </w:rPr>
        <w:t xml:space="preserve">- interpretar e pronunciar-se sobre a legislação concernente à execução orçamentária, financeira e patrimonial; </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V </w:t>
      </w:r>
      <w:r w:rsidRPr="001970AF">
        <w:rPr>
          <w:rFonts w:ascii="Tahoma" w:hAnsi="Tahoma" w:cs="Tahoma"/>
        </w:rPr>
        <w:t>-</w:t>
      </w:r>
      <w:r w:rsidRPr="001970AF">
        <w:rPr>
          <w:rFonts w:ascii="Tahoma" w:hAnsi="Tahoma" w:cs="Tahoma"/>
          <w:b/>
        </w:rPr>
        <w:t xml:space="preserve"> </w:t>
      </w:r>
      <w:r w:rsidRPr="001970AF">
        <w:rPr>
          <w:rFonts w:ascii="Tahoma" w:hAnsi="Tahoma" w:cs="Tahoma"/>
        </w:rPr>
        <w:t xml:space="preserve">medir e avaliar a eficiência e eficácia dos procedimentos de controle interno, através das atividades de auditoria interna a serem realizadas, mediante metodologia e programação próprias, nos diversos sistemas administrativos, expedindo relatórios com recomendações para o aprimoramento dos controles; </w:t>
      </w:r>
    </w:p>
    <w:p w:rsidR="005970A9" w:rsidRDefault="005970A9" w:rsidP="005970A9">
      <w:pPr>
        <w:ind w:firstLine="851"/>
        <w:rPr>
          <w:rFonts w:ascii="Tahoma" w:hAnsi="Tahoma" w:cs="Tahoma"/>
        </w:rPr>
      </w:pPr>
    </w:p>
    <w:p w:rsidR="005970A9" w:rsidRPr="001970AF" w:rsidRDefault="005970A9" w:rsidP="005970A9">
      <w:pPr>
        <w:ind w:firstLine="851"/>
        <w:rPr>
          <w:rFonts w:ascii="Tahoma" w:hAnsi="Tahoma" w:cs="Tahoma"/>
        </w:rPr>
      </w:pPr>
      <w:r w:rsidRPr="001970AF">
        <w:rPr>
          <w:rFonts w:ascii="Tahoma" w:hAnsi="Tahoma" w:cs="Tahoma"/>
          <w:b/>
        </w:rPr>
        <w:t xml:space="preserve">VI </w:t>
      </w:r>
      <w:r w:rsidRPr="001970AF">
        <w:rPr>
          <w:rFonts w:ascii="Tahoma" w:hAnsi="Tahoma" w:cs="Tahoma"/>
        </w:rPr>
        <w:t xml:space="preserve">- avaliar o cumprimento dos programas, objetivos e metas espelhadas no Plano Plurianual, na Lei de Diretrizes Orçamentárias e no Orçamento, inclusive quanto a ações descentralizadas executadas à conta de recursos oriundos dos Orçamentos Fiscal e de Investimentos; </w:t>
      </w:r>
    </w:p>
    <w:p w:rsidR="005970A9" w:rsidRPr="001970AF" w:rsidRDefault="005970A9" w:rsidP="005970A9">
      <w:pPr>
        <w:ind w:firstLine="851"/>
        <w:rPr>
          <w:rFonts w:ascii="Tahoma" w:hAnsi="Tahoma" w:cs="Tahoma"/>
          <w:b/>
        </w:rPr>
      </w:pPr>
    </w:p>
    <w:p w:rsidR="005970A9" w:rsidRPr="001970AF" w:rsidRDefault="005970A9" w:rsidP="005970A9">
      <w:pPr>
        <w:ind w:firstLine="851"/>
        <w:rPr>
          <w:rFonts w:ascii="Tahoma" w:hAnsi="Tahoma" w:cs="Tahoma"/>
        </w:rPr>
      </w:pPr>
      <w:r w:rsidRPr="001970AF">
        <w:rPr>
          <w:rFonts w:ascii="Tahoma" w:hAnsi="Tahoma" w:cs="Tahoma"/>
          <w:b/>
        </w:rPr>
        <w:t xml:space="preserve">VII </w:t>
      </w:r>
      <w:r w:rsidRPr="001970AF">
        <w:rPr>
          <w:rFonts w:ascii="Tahoma" w:hAnsi="Tahoma" w:cs="Tahoma"/>
        </w:rPr>
        <w:t>- exercer o acompanhamento sobre a observância dos limites constitucionais, da Lei de Responsabilidade Fiscal e os estabelecidos nos demais instrumentos legais;</w:t>
      </w:r>
    </w:p>
    <w:p w:rsidR="005970A9" w:rsidRPr="001970AF" w:rsidRDefault="005970A9" w:rsidP="005970A9">
      <w:pPr>
        <w:ind w:firstLine="851"/>
        <w:rPr>
          <w:rFonts w:ascii="Tahoma" w:hAnsi="Tahoma" w:cs="Tahoma"/>
        </w:rPr>
      </w:pPr>
    </w:p>
    <w:p w:rsidR="005970A9" w:rsidRPr="001970AF" w:rsidRDefault="005970A9" w:rsidP="005970A9">
      <w:pPr>
        <w:ind w:firstLine="851"/>
        <w:rPr>
          <w:rFonts w:ascii="Tahoma" w:hAnsi="Tahoma" w:cs="Tahoma"/>
        </w:rPr>
      </w:pPr>
      <w:r w:rsidRPr="001970AF">
        <w:rPr>
          <w:rFonts w:ascii="Tahoma" w:hAnsi="Tahoma" w:cs="Tahoma"/>
          <w:b/>
        </w:rPr>
        <w:t xml:space="preserve">VIII </w:t>
      </w:r>
      <w:r w:rsidRPr="001970AF">
        <w:rPr>
          <w:rFonts w:ascii="Tahoma" w:hAnsi="Tahoma" w:cs="Tahoma"/>
        </w:rPr>
        <w:t xml:space="preserve">- estabelecer mecanismos voltados a comprovar a legalidade e a legitimidade dos atos de gestão e avaliar os resultados, quanto à eficácia, eficiência e economicidade na gestão orçamentária, financeira, patrimonial e operacional nos correspondentes à Autarquia Municipal, bem como na aplicação de recursos públicos por entidades de direito privado; </w:t>
      </w:r>
    </w:p>
    <w:p w:rsidR="005970A9" w:rsidRPr="001970AF"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IX </w:t>
      </w:r>
      <w:r w:rsidRPr="001970AF">
        <w:rPr>
          <w:rFonts w:ascii="Tahoma" w:hAnsi="Tahoma" w:cs="Tahoma"/>
        </w:rPr>
        <w:t xml:space="preserve">- aferir a destinação dos recursos obtidos com a alienação de ativos, tendo em vista as restrições constitucionais e as da Lei de Responsabilidade Fiscal; </w:t>
      </w:r>
    </w:p>
    <w:p w:rsidR="005970A9"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X </w:t>
      </w:r>
      <w:r w:rsidRPr="001970AF">
        <w:rPr>
          <w:rFonts w:ascii="Tahoma" w:hAnsi="Tahoma" w:cs="Tahoma"/>
        </w:rPr>
        <w:t>- acompanhar a divulgação dos instrumentos de transparência da gestão fiscal nos termos da Lei de Responsabilidade Fiscal</w:t>
      </w:r>
      <w:r>
        <w:rPr>
          <w:rFonts w:ascii="Tahoma" w:hAnsi="Tahoma" w:cs="Tahoma"/>
        </w:rPr>
        <w:t>;</w:t>
      </w:r>
    </w:p>
    <w:p w:rsidR="005970A9" w:rsidRDefault="005970A9" w:rsidP="005970A9">
      <w:pPr>
        <w:ind w:firstLine="851"/>
        <w:rPr>
          <w:rFonts w:ascii="Tahoma" w:hAnsi="Tahoma" w:cs="Tahoma"/>
        </w:rPr>
      </w:pPr>
    </w:p>
    <w:p w:rsidR="005970A9" w:rsidRPr="001970AF" w:rsidRDefault="005970A9" w:rsidP="005970A9">
      <w:pPr>
        <w:ind w:firstLine="851"/>
        <w:rPr>
          <w:rFonts w:ascii="Tahoma" w:hAnsi="Tahoma" w:cs="Tahoma"/>
        </w:rPr>
      </w:pPr>
      <w:r w:rsidRPr="001970AF">
        <w:rPr>
          <w:rFonts w:ascii="Tahoma" w:hAnsi="Tahoma" w:cs="Tahoma"/>
          <w:b/>
        </w:rPr>
        <w:t xml:space="preserve">XI </w:t>
      </w:r>
      <w:r w:rsidRPr="001970AF">
        <w:rPr>
          <w:rFonts w:ascii="Tahoma" w:hAnsi="Tahoma" w:cs="Tahoma"/>
        </w:rPr>
        <w:t xml:space="preserve">- </w:t>
      </w:r>
      <w:r w:rsidRPr="00F64724">
        <w:rPr>
          <w:rFonts w:ascii="Tahoma" w:hAnsi="Tahoma" w:cs="Tahoma"/>
        </w:rPr>
        <w:t>acompanhar a elaboração do Plano Plurianual, da Lei de Diretrizes Orçamentárias e da Lei Orçamentária, no âmbito da autarquia;</w:t>
      </w:r>
    </w:p>
    <w:p w:rsidR="005970A9" w:rsidRPr="001970AF" w:rsidRDefault="005970A9" w:rsidP="005970A9">
      <w:pPr>
        <w:ind w:firstLine="851"/>
        <w:rPr>
          <w:rFonts w:ascii="Tahoma" w:hAnsi="Tahoma" w:cs="Tahoma"/>
          <w:b/>
        </w:rPr>
      </w:pPr>
    </w:p>
    <w:p w:rsidR="005970A9" w:rsidRPr="001970AF" w:rsidRDefault="005970A9" w:rsidP="005970A9">
      <w:pPr>
        <w:ind w:firstLine="851"/>
        <w:rPr>
          <w:rFonts w:ascii="Tahoma" w:hAnsi="Tahoma" w:cs="Tahoma"/>
        </w:rPr>
      </w:pPr>
      <w:r w:rsidRPr="001970AF">
        <w:rPr>
          <w:rFonts w:ascii="Tahoma" w:hAnsi="Tahoma" w:cs="Tahoma"/>
          <w:b/>
        </w:rPr>
        <w:t xml:space="preserve">XII </w:t>
      </w:r>
      <w:r w:rsidRPr="001970AF">
        <w:rPr>
          <w:rFonts w:ascii="Tahoma" w:hAnsi="Tahoma" w:cs="Tahoma"/>
        </w:rPr>
        <w:t xml:space="preserve">- manifestar-se, quando solicitado pela administração, acerca da regularidade e legalidade de processos licitatórios e chamamentos públicos, sua dispensa ou inexigibilidade e sobre o cumprimento e/ou legalidade de atos, contratos e outros instrumentos congêneres; </w:t>
      </w:r>
    </w:p>
    <w:p w:rsidR="005970A9" w:rsidRPr="001970AF" w:rsidRDefault="005970A9" w:rsidP="005970A9">
      <w:pPr>
        <w:ind w:firstLine="851"/>
        <w:rPr>
          <w:rFonts w:ascii="Tahoma" w:hAnsi="Tahoma" w:cs="Tahoma"/>
          <w:b/>
        </w:rPr>
      </w:pPr>
    </w:p>
    <w:p w:rsidR="005970A9" w:rsidRPr="001970AF" w:rsidRDefault="005970A9" w:rsidP="005970A9">
      <w:pPr>
        <w:ind w:firstLine="851"/>
        <w:rPr>
          <w:rFonts w:ascii="Tahoma" w:hAnsi="Tahoma" w:cs="Tahoma"/>
        </w:rPr>
      </w:pPr>
      <w:r w:rsidRPr="001970AF">
        <w:rPr>
          <w:rFonts w:ascii="Tahoma" w:hAnsi="Tahoma" w:cs="Tahoma"/>
          <w:b/>
        </w:rPr>
        <w:t xml:space="preserve">XIII </w:t>
      </w:r>
      <w:r w:rsidRPr="001970AF">
        <w:rPr>
          <w:rFonts w:ascii="Tahoma" w:hAnsi="Tahoma" w:cs="Tahoma"/>
        </w:rPr>
        <w:t xml:space="preserve">- propor a melhoria ou implantação de sistemas de processamento eletrônico de dados em todas as atividades da administração pública, com o objetivo de aprimorar os controles internos, agilizar as rotinas e melhorar o nível das informações; </w:t>
      </w:r>
    </w:p>
    <w:p w:rsidR="005970A9" w:rsidRPr="001970AF" w:rsidRDefault="005970A9" w:rsidP="005970A9">
      <w:pPr>
        <w:ind w:firstLine="851"/>
        <w:rPr>
          <w:rFonts w:ascii="Tahoma" w:hAnsi="Tahoma" w:cs="Tahoma"/>
        </w:rPr>
      </w:pPr>
    </w:p>
    <w:p w:rsidR="005970A9" w:rsidRPr="001970AF" w:rsidRDefault="005970A9" w:rsidP="005970A9">
      <w:pPr>
        <w:ind w:firstLine="851"/>
        <w:rPr>
          <w:rFonts w:ascii="Tahoma" w:hAnsi="Tahoma" w:cs="Tahoma"/>
        </w:rPr>
      </w:pPr>
      <w:r w:rsidRPr="001970AF">
        <w:rPr>
          <w:rFonts w:ascii="Tahoma" w:hAnsi="Tahoma" w:cs="Tahoma"/>
          <w:b/>
        </w:rPr>
        <w:t xml:space="preserve">XIV </w:t>
      </w:r>
      <w:r w:rsidRPr="001970AF">
        <w:rPr>
          <w:rFonts w:ascii="Tahoma" w:hAnsi="Tahoma" w:cs="Tahoma"/>
        </w:rPr>
        <w:t xml:space="preserve">- instituir e manter sistema de informações para o exercício das atividades finalísticas do Sistema de Controle Interno; </w:t>
      </w:r>
    </w:p>
    <w:p w:rsidR="005970A9" w:rsidRPr="001970AF" w:rsidRDefault="005970A9" w:rsidP="005970A9">
      <w:pPr>
        <w:ind w:firstLine="851"/>
        <w:rPr>
          <w:rFonts w:ascii="Tahoma" w:hAnsi="Tahoma" w:cs="Tahoma"/>
          <w:b/>
        </w:rPr>
      </w:pPr>
    </w:p>
    <w:p w:rsidR="005970A9" w:rsidRPr="001970AF" w:rsidRDefault="005970A9" w:rsidP="005970A9">
      <w:pPr>
        <w:ind w:firstLine="851"/>
        <w:rPr>
          <w:rFonts w:ascii="Tahoma" w:hAnsi="Tahoma" w:cs="Tahoma"/>
        </w:rPr>
      </w:pPr>
      <w:r w:rsidRPr="001970AF">
        <w:rPr>
          <w:rFonts w:ascii="Tahoma" w:hAnsi="Tahoma" w:cs="Tahoma"/>
          <w:b/>
        </w:rPr>
        <w:t xml:space="preserve">XV </w:t>
      </w:r>
      <w:r w:rsidRPr="001970AF">
        <w:rPr>
          <w:rFonts w:ascii="Tahoma" w:hAnsi="Tahoma" w:cs="Tahoma"/>
        </w:rPr>
        <w:t xml:space="preserve">- alertar formalmente a autoridade administrativa competente para que instaure imediatamente,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 </w:t>
      </w:r>
    </w:p>
    <w:p w:rsidR="005970A9" w:rsidRPr="001970AF" w:rsidRDefault="005970A9" w:rsidP="005970A9">
      <w:pPr>
        <w:ind w:firstLine="851"/>
        <w:rPr>
          <w:rFonts w:ascii="Tahoma" w:hAnsi="Tahoma" w:cs="Tahoma"/>
          <w:b/>
        </w:rPr>
      </w:pPr>
    </w:p>
    <w:p w:rsidR="005970A9" w:rsidRPr="001970AF" w:rsidRDefault="005970A9" w:rsidP="005970A9">
      <w:pPr>
        <w:ind w:firstLine="851"/>
        <w:rPr>
          <w:rFonts w:ascii="Tahoma" w:hAnsi="Tahoma" w:cs="Tahoma"/>
        </w:rPr>
      </w:pPr>
      <w:r w:rsidRPr="001970AF">
        <w:rPr>
          <w:rFonts w:ascii="Tahoma" w:hAnsi="Tahoma" w:cs="Tahoma"/>
          <w:b/>
        </w:rPr>
        <w:t xml:space="preserve">XVI </w:t>
      </w:r>
      <w:r w:rsidRPr="001970AF">
        <w:rPr>
          <w:rFonts w:ascii="Tahoma" w:hAnsi="Tahoma" w:cs="Tahoma"/>
        </w:rPr>
        <w:t xml:space="preserve">- revisar e emitir parecer sobre os processos de Tomadas de Contas Especiais instauradas pela Autarquia, inclusive sobre as determinadas pelo Tribunal de Contas do Estado; </w:t>
      </w:r>
    </w:p>
    <w:p w:rsidR="005970A9" w:rsidRPr="001970AF" w:rsidRDefault="005970A9" w:rsidP="005970A9">
      <w:pPr>
        <w:ind w:firstLine="851"/>
        <w:rPr>
          <w:rFonts w:ascii="Tahoma" w:hAnsi="Tahoma" w:cs="Tahoma"/>
          <w:b/>
        </w:rPr>
      </w:pPr>
    </w:p>
    <w:p w:rsidR="005970A9" w:rsidRPr="001970AF" w:rsidRDefault="005970A9" w:rsidP="005970A9">
      <w:pPr>
        <w:ind w:firstLine="851"/>
        <w:rPr>
          <w:rFonts w:ascii="Tahoma" w:hAnsi="Tahoma" w:cs="Tahoma"/>
        </w:rPr>
      </w:pPr>
      <w:r w:rsidRPr="001970AF">
        <w:rPr>
          <w:rFonts w:ascii="Tahoma" w:hAnsi="Tahoma" w:cs="Tahoma"/>
          <w:b/>
        </w:rPr>
        <w:t xml:space="preserve">XVII </w:t>
      </w:r>
      <w:r w:rsidRPr="001970AF">
        <w:rPr>
          <w:rFonts w:ascii="Tahoma" w:hAnsi="Tahoma" w:cs="Tahoma"/>
        </w:rPr>
        <w:t xml:space="preserve">- representar ao TCE-SP, sob pena de responsabilidade solidária, sobre as irregularidades e ilegalidades que evidenciem danos ou prejuízos ao erário não reparados integralmente pelas medidas adotadas pela administração; </w:t>
      </w:r>
    </w:p>
    <w:p w:rsidR="005970A9" w:rsidRPr="001970AF" w:rsidRDefault="005970A9" w:rsidP="005970A9">
      <w:pPr>
        <w:ind w:firstLine="851"/>
        <w:rPr>
          <w:rFonts w:ascii="Tahoma" w:hAnsi="Tahoma" w:cs="Tahoma"/>
          <w:b/>
        </w:rPr>
      </w:pPr>
    </w:p>
    <w:p w:rsidR="005970A9" w:rsidRPr="001970AF" w:rsidRDefault="005970A9" w:rsidP="005970A9">
      <w:pPr>
        <w:ind w:firstLine="851"/>
        <w:rPr>
          <w:rFonts w:ascii="Tahoma" w:hAnsi="Tahoma" w:cs="Tahoma"/>
        </w:rPr>
      </w:pPr>
      <w:r w:rsidRPr="001970AF">
        <w:rPr>
          <w:rFonts w:ascii="Tahoma" w:hAnsi="Tahoma" w:cs="Tahoma"/>
          <w:b/>
        </w:rPr>
        <w:t xml:space="preserve">XVIII </w:t>
      </w:r>
      <w:r w:rsidRPr="001970AF">
        <w:rPr>
          <w:rFonts w:ascii="Tahoma" w:hAnsi="Tahoma" w:cs="Tahoma"/>
        </w:rPr>
        <w:t>- emitir parecer conclusivo sobre as contas anuais prestadas pela administração.</w:t>
      </w:r>
    </w:p>
    <w:p w:rsidR="005970A9" w:rsidRPr="001970AF" w:rsidRDefault="005970A9" w:rsidP="005970A9">
      <w:pPr>
        <w:ind w:firstLine="851"/>
        <w:rPr>
          <w:rFonts w:ascii="Tahoma" w:hAnsi="Tahoma" w:cs="Tahoma"/>
        </w:rPr>
      </w:pPr>
    </w:p>
    <w:p w:rsidR="005970A9" w:rsidRDefault="005970A9" w:rsidP="005970A9">
      <w:pPr>
        <w:ind w:firstLine="851"/>
        <w:rPr>
          <w:rFonts w:ascii="Tahoma" w:hAnsi="Tahoma" w:cs="Tahoma"/>
        </w:rPr>
      </w:pPr>
      <w:r w:rsidRPr="001970AF">
        <w:rPr>
          <w:rFonts w:ascii="Tahoma" w:hAnsi="Tahoma" w:cs="Tahoma"/>
          <w:b/>
        </w:rPr>
        <w:t xml:space="preserve">Art. 4º </w:t>
      </w:r>
      <w:r w:rsidRPr="001970AF">
        <w:rPr>
          <w:rFonts w:ascii="Tahoma" w:hAnsi="Tahoma" w:cs="Tahoma"/>
        </w:rPr>
        <w:t>Fica extinto o cargo de Controlador Interno criado pela Lei Complementar nº 157, de 12 de Setembro de 2019.</w:t>
      </w:r>
    </w:p>
    <w:p w:rsidR="005970A9" w:rsidRDefault="005970A9" w:rsidP="005970A9">
      <w:pPr>
        <w:ind w:firstLine="851"/>
        <w:rPr>
          <w:rFonts w:ascii="Tahoma" w:hAnsi="Tahoma" w:cs="Tahoma"/>
        </w:rPr>
      </w:pPr>
    </w:p>
    <w:p w:rsidR="005970A9" w:rsidRPr="001970AF" w:rsidRDefault="005970A9" w:rsidP="005970A9">
      <w:pPr>
        <w:ind w:firstLine="851"/>
        <w:rPr>
          <w:rFonts w:ascii="Tahoma" w:hAnsi="Tahoma" w:cs="Tahoma"/>
        </w:rPr>
      </w:pPr>
      <w:r w:rsidRPr="001970AF">
        <w:rPr>
          <w:rFonts w:ascii="Tahoma" w:hAnsi="Tahoma" w:cs="Tahoma"/>
          <w:b/>
        </w:rPr>
        <w:t xml:space="preserve">Art. 5º </w:t>
      </w:r>
      <w:r w:rsidRPr="001970AF">
        <w:rPr>
          <w:rFonts w:ascii="Tahoma" w:hAnsi="Tahoma" w:cs="Tahoma"/>
        </w:rPr>
        <w:t xml:space="preserve">Revogam-se todas as disposições em contrário. </w:t>
      </w:r>
    </w:p>
    <w:p w:rsidR="005970A9" w:rsidRPr="001970AF" w:rsidRDefault="005970A9" w:rsidP="005970A9">
      <w:pPr>
        <w:ind w:firstLine="851"/>
        <w:rPr>
          <w:rFonts w:ascii="Tahoma" w:hAnsi="Tahoma" w:cs="Tahoma"/>
        </w:rPr>
      </w:pPr>
    </w:p>
    <w:p w:rsidR="005970A9" w:rsidRPr="001970AF" w:rsidRDefault="005970A9" w:rsidP="005970A9">
      <w:pPr>
        <w:ind w:firstLine="851"/>
        <w:rPr>
          <w:rFonts w:ascii="Tahoma" w:hAnsi="Tahoma" w:cs="Tahoma"/>
        </w:rPr>
      </w:pPr>
      <w:r w:rsidRPr="001970AF">
        <w:rPr>
          <w:rFonts w:ascii="Tahoma" w:hAnsi="Tahoma" w:cs="Tahoma"/>
          <w:b/>
        </w:rPr>
        <w:t>Art. 6º</w:t>
      </w:r>
      <w:r w:rsidRPr="001970AF">
        <w:rPr>
          <w:rFonts w:ascii="Tahoma" w:hAnsi="Tahoma" w:cs="Tahoma"/>
        </w:rPr>
        <w:t xml:space="preserve"> As</w:t>
      </w:r>
      <w:r w:rsidRPr="001970AF">
        <w:rPr>
          <w:rFonts w:ascii="Tahoma" w:hAnsi="Tahoma" w:cs="Tahoma"/>
          <w:b/>
        </w:rPr>
        <w:t xml:space="preserve"> </w:t>
      </w:r>
      <w:r w:rsidRPr="001970AF">
        <w:rPr>
          <w:rFonts w:ascii="Tahoma" w:hAnsi="Tahoma" w:cs="Tahoma"/>
        </w:rPr>
        <w:t>despesas decorrentes desta Lei correrão por conta das dotações orçamentárias próprias constantes do orçamento vigente.</w:t>
      </w:r>
    </w:p>
    <w:p w:rsidR="005970A9" w:rsidRPr="001970AF" w:rsidRDefault="005970A9" w:rsidP="005970A9">
      <w:pPr>
        <w:ind w:firstLine="851"/>
        <w:rPr>
          <w:rFonts w:ascii="Tahoma" w:hAnsi="Tahoma" w:cs="Tahoma"/>
        </w:rPr>
      </w:pPr>
    </w:p>
    <w:p w:rsidR="005970A9" w:rsidRPr="001970AF" w:rsidRDefault="005970A9" w:rsidP="005970A9">
      <w:pPr>
        <w:ind w:firstLine="851"/>
        <w:rPr>
          <w:rFonts w:ascii="Tahoma" w:hAnsi="Tahoma" w:cs="Tahoma"/>
        </w:rPr>
      </w:pPr>
      <w:r w:rsidRPr="001970AF">
        <w:rPr>
          <w:rFonts w:ascii="Tahoma" w:hAnsi="Tahoma" w:cs="Tahoma"/>
          <w:b/>
          <w:bCs/>
        </w:rPr>
        <w:t>Art. 7º</w:t>
      </w:r>
      <w:r w:rsidRPr="001970AF">
        <w:rPr>
          <w:rFonts w:ascii="Tahoma" w:hAnsi="Tahoma" w:cs="Tahoma"/>
        </w:rPr>
        <w:t xml:space="preserve"> Esta Lei Complementar entra em vigor na data de sua publicação.</w:t>
      </w:r>
    </w:p>
    <w:p w:rsidR="005970A9" w:rsidRPr="00284C3B" w:rsidRDefault="005970A9" w:rsidP="005970A9">
      <w:pPr>
        <w:pStyle w:val="Corpodetexto"/>
        <w:tabs>
          <w:tab w:val="num" w:pos="0"/>
        </w:tabs>
        <w:spacing w:after="0"/>
        <w:ind w:firstLine="1701"/>
        <w:rPr>
          <w:rFonts w:ascii="Tahoma" w:hAnsi="Tahoma" w:cs="Tahoma"/>
        </w:rPr>
      </w:pPr>
    </w:p>
    <w:p w:rsidR="00893A88" w:rsidRPr="00980B4F" w:rsidRDefault="00893A88" w:rsidP="00B26F21">
      <w:pPr>
        <w:spacing w:after="200" w:line="276" w:lineRule="auto"/>
        <w:jc w:val="right"/>
        <w:rPr>
          <w:rFonts w:ascii="Arial" w:hAnsi="Arial" w:cs="Arial"/>
        </w:rPr>
      </w:pPr>
      <w:r w:rsidRPr="00980B4F">
        <w:rPr>
          <w:rFonts w:ascii="Arial" w:hAnsi="Arial" w:cs="Arial"/>
        </w:rPr>
        <w:t>Câmara Municipal da Estânc</w:t>
      </w:r>
      <w:r w:rsidR="0043632E" w:rsidRPr="00980B4F">
        <w:rPr>
          <w:rFonts w:ascii="Arial" w:hAnsi="Arial" w:cs="Arial"/>
        </w:rPr>
        <w:t>ia Turística de Barra Bonita,</w:t>
      </w:r>
      <w:r w:rsidR="001A7E21">
        <w:rPr>
          <w:rFonts w:ascii="Arial" w:hAnsi="Arial" w:cs="Arial"/>
        </w:rPr>
        <w:t xml:space="preserve"> </w:t>
      </w:r>
      <w:r w:rsidR="005970A9">
        <w:rPr>
          <w:rFonts w:ascii="Arial" w:hAnsi="Arial" w:cs="Arial"/>
        </w:rPr>
        <w:t>08 de Novembro</w:t>
      </w:r>
      <w:r w:rsidR="0036637A">
        <w:rPr>
          <w:rFonts w:ascii="Arial" w:hAnsi="Arial" w:cs="Arial"/>
        </w:rPr>
        <w:t xml:space="preserve"> </w:t>
      </w:r>
      <w:r w:rsidR="00024FC4">
        <w:rPr>
          <w:rFonts w:ascii="Arial" w:hAnsi="Arial" w:cs="Arial"/>
        </w:rPr>
        <w:t>de 2022</w:t>
      </w:r>
      <w:r w:rsidRPr="00980B4F">
        <w:rPr>
          <w:rFonts w:ascii="Arial" w:hAnsi="Arial" w:cs="Arial"/>
        </w:rPr>
        <w:t>.</w:t>
      </w:r>
    </w:p>
    <w:p w:rsidR="00230B98" w:rsidRDefault="00230B98" w:rsidP="00D81254">
      <w:pPr>
        <w:spacing w:line="280" w:lineRule="exact"/>
        <w:jc w:val="center"/>
        <w:rPr>
          <w:rFonts w:ascii="Arial" w:hAnsi="Arial" w:cs="Arial"/>
          <w:b/>
        </w:rPr>
      </w:pPr>
    </w:p>
    <w:p w:rsidR="00230B98" w:rsidRDefault="00230B98" w:rsidP="00D81254">
      <w:pPr>
        <w:spacing w:line="280" w:lineRule="exact"/>
        <w:jc w:val="center"/>
        <w:rPr>
          <w:rFonts w:ascii="Arial" w:hAnsi="Arial" w:cs="Arial"/>
          <w:b/>
        </w:rPr>
      </w:pPr>
    </w:p>
    <w:p w:rsidR="00B26F21" w:rsidRDefault="00B26F21" w:rsidP="00D81254">
      <w:pPr>
        <w:spacing w:line="280" w:lineRule="exact"/>
        <w:jc w:val="center"/>
        <w:rPr>
          <w:rFonts w:ascii="Arial" w:hAnsi="Arial" w:cs="Arial"/>
          <w:b/>
        </w:rPr>
      </w:pPr>
    </w:p>
    <w:p w:rsidR="00F968D5" w:rsidRPr="00980B4F" w:rsidRDefault="00AD0255" w:rsidP="00D81254">
      <w:pPr>
        <w:spacing w:line="280" w:lineRule="exact"/>
        <w:jc w:val="center"/>
        <w:rPr>
          <w:rFonts w:ascii="Arial" w:hAnsi="Arial" w:cs="Arial"/>
          <w:b/>
        </w:rPr>
      </w:pPr>
      <w:r>
        <w:rPr>
          <w:rFonts w:ascii="Arial" w:hAnsi="Arial" w:cs="Arial"/>
          <w:b/>
        </w:rPr>
        <w:t>JOSÉ CARLOS FANTIN</w:t>
      </w:r>
    </w:p>
    <w:p w:rsidR="001A7E21" w:rsidRDefault="00F968D5" w:rsidP="00FB034C">
      <w:pPr>
        <w:spacing w:line="280" w:lineRule="exact"/>
        <w:jc w:val="center"/>
        <w:rPr>
          <w:rFonts w:ascii="Arial" w:hAnsi="Arial" w:cs="Arial"/>
          <w:b/>
        </w:rPr>
      </w:pPr>
      <w:r w:rsidRPr="00980B4F">
        <w:rPr>
          <w:rFonts w:ascii="Arial" w:hAnsi="Arial" w:cs="Arial"/>
          <w:b/>
        </w:rPr>
        <w:t>Presidente da Câmara</w:t>
      </w:r>
    </w:p>
    <w:p w:rsidR="001A7E21" w:rsidRDefault="001A7E21">
      <w:pPr>
        <w:spacing w:after="200" w:line="276" w:lineRule="auto"/>
        <w:rPr>
          <w:rFonts w:ascii="Arial" w:hAnsi="Arial" w:cs="Arial"/>
          <w:b/>
        </w:rPr>
      </w:pPr>
    </w:p>
    <w:sectPr w:rsidR="001A7E21" w:rsidSect="00980B4F">
      <w:pgSz w:w="11906" w:h="16838"/>
      <w:pgMar w:top="2127"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E2D75"/>
    <w:multiLevelType w:val="hybridMultilevel"/>
    <w:tmpl w:val="F3382F5C"/>
    <w:lvl w:ilvl="0" w:tplc="212CE2A2">
      <w:start w:val="1"/>
      <w:numFmt w:val="lowerLetter"/>
      <w:lvlText w:val="%1)"/>
      <w:lvlJc w:val="left"/>
      <w:pPr>
        <w:ind w:left="2203" w:hanging="360"/>
      </w:pPr>
      <w:rPr>
        <w:rFonts w:ascii="Tahoma" w:hAnsi="Tahoma" w:cs="Tahoma" w:hint="default"/>
        <w:b w:val="0"/>
        <w:sz w:val="24"/>
        <w:szCs w:val="24"/>
      </w:rPr>
    </w:lvl>
    <w:lvl w:ilvl="1" w:tplc="04160019">
      <w:start w:val="1"/>
      <w:numFmt w:val="lowerLetter"/>
      <w:lvlText w:val="%2."/>
      <w:lvlJc w:val="left"/>
      <w:pPr>
        <w:ind w:left="2923" w:hanging="360"/>
      </w:pPr>
    </w:lvl>
    <w:lvl w:ilvl="2" w:tplc="0416001B">
      <w:start w:val="1"/>
      <w:numFmt w:val="lowerRoman"/>
      <w:lvlText w:val="%3."/>
      <w:lvlJc w:val="right"/>
      <w:pPr>
        <w:ind w:left="3643" w:hanging="180"/>
      </w:pPr>
    </w:lvl>
    <w:lvl w:ilvl="3" w:tplc="0416000F">
      <w:start w:val="1"/>
      <w:numFmt w:val="decimal"/>
      <w:lvlText w:val="%4."/>
      <w:lvlJc w:val="left"/>
      <w:pPr>
        <w:ind w:left="4363" w:hanging="360"/>
      </w:pPr>
    </w:lvl>
    <w:lvl w:ilvl="4" w:tplc="04160019">
      <w:start w:val="1"/>
      <w:numFmt w:val="lowerLetter"/>
      <w:lvlText w:val="%5."/>
      <w:lvlJc w:val="left"/>
      <w:pPr>
        <w:ind w:left="5083" w:hanging="360"/>
      </w:pPr>
    </w:lvl>
    <w:lvl w:ilvl="5" w:tplc="0416001B">
      <w:start w:val="1"/>
      <w:numFmt w:val="lowerRoman"/>
      <w:lvlText w:val="%6."/>
      <w:lvlJc w:val="right"/>
      <w:pPr>
        <w:ind w:left="5803" w:hanging="180"/>
      </w:pPr>
    </w:lvl>
    <w:lvl w:ilvl="6" w:tplc="0416000F">
      <w:start w:val="1"/>
      <w:numFmt w:val="decimal"/>
      <w:lvlText w:val="%7."/>
      <w:lvlJc w:val="left"/>
      <w:pPr>
        <w:ind w:left="6523" w:hanging="360"/>
      </w:pPr>
    </w:lvl>
    <w:lvl w:ilvl="7" w:tplc="04160019">
      <w:start w:val="1"/>
      <w:numFmt w:val="lowerLetter"/>
      <w:lvlText w:val="%8."/>
      <w:lvlJc w:val="left"/>
      <w:pPr>
        <w:ind w:left="7243" w:hanging="360"/>
      </w:pPr>
    </w:lvl>
    <w:lvl w:ilvl="8" w:tplc="0416001B">
      <w:start w:val="1"/>
      <w:numFmt w:val="lowerRoman"/>
      <w:lvlText w:val="%9."/>
      <w:lvlJc w:val="right"/>
      <w:pPr>
        <w:ind w:left="7963" w:hanging="180"/>
      </w:pPr>
    </w:lvl>
  </w:abstractNum>
  <w:abstractNum w:abstractNumId="1">
    <w:nsid w:val="103E490F"/>
    <w:multiLevelType w:val="hybridMultilevel"/>
    <w:tmpl w:val="2646B19E"/>
    <w:lvl w:ilvl="0" w:tplc="535C7EF0">
      <w:start w:val="1"/>
      <w:numFmt w:val="upperRoman"/>
      <w:lvlText w:val="%1 -"/>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0A71D10"/>
    <w:multiLevelType w:val="hybridMultilevel"/>
    <w:tmpl w:val="2D9E898A"/>
    <w:lvl w:ilvl="0" w:tplc="427E30BC">
      <w:start w:val="1"/>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21CE2170"/>
    <w:multiLevelType w:val="hybridMultilevel"/>
    <w:tmpl w:val="9FBA288A"/>
    <w:lvl w:ilvl="0" w:tplc="B914A85E">
      <w:start w:val="1"/>
      <w:numFmt w:val="lowerLetter"/>
      <w:lvlText w:val="%1)"/>
      <w:lvlJc w:val="left"/>
      <w:pPr>
        <w:ind w:left="840" w:hanging="360"/>
      </w:pPr>
      <w:rPr>
        <w:rFonts w:ascii="Tahoma" w:hAnsi="Tahoma" w:cs="Tahoma"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start w:val="1"/>
      <w:numFmt w:val="decimal"/>
      <w:lvlText w:val="%4."/>
      <w:lvlJc w:val="left"/>
      <w:pPr>
        <w:ind w:left="3000" w:hanging="360"/>
      </w:pPr>
    </w:lvl>
    <w:lvl w:ilvl="4" w:tplc="04160019">
      <w:start w:val="1"/>
      <w:numFmt w:val="lowerLetter"/>
      <w:lvlText w:val="%5."/>
      <w:lvlJc w:val="left"/>
      <w:pPr>
        <w:ind w:left="3720" w:hanging="360"/>
      </w:pPr>
    </w:lvl>
    <w:lvl w:ilvl="5" w:tplc="0416001B">
      <w:start w:val="1"/>
      <w:numFmt w:val="lowerRoman"/>
      <w:lvlText w:val="%6."/>
      <w:lvlJc w:val="right"/>
      <w:pPr>
        <w:ind w:left="4440" w:hanging="180"/>
      </w:pPr>
    </w:lvl>
    <w:lvl w:ilvl="6" w:tplc="0416000F">
      <w:start w:val="1"/>
      <w:numFmt w:val="decimal"/>
      <w:lvlText w:val="%7."/>
      <w:lvlJc w:val="left"/>
      <w:pPr>
        <w:ind w:left="5160" w:hanging="360"/>
      </w:pPr>
    </w:lvl>
    <w:lvl w:ilvl="7" w:tplc="04160019">
      <w:start w:val="1"/>
      <w:numFmt w:val="lowerLetter"/>
      <w:lvlText w:val="%8."/>
      <w:lvlJc w:val="left"/>
      <w:pPr>
        <w:ind w:left="5880" w:hanging="360"/>
      </w:pPr>
    </w:lvl>
    <w:lvl w:ilvl="8" w:tplc="0416001B">
      <w:start w:val="1"/>
      <w:numFmt w:val="lowerRoman"/>
      <w:lvlText w:val="%9."/>
      <w:lvlJc w:val="right"/>
      <w:pPr>
        <w:ind w:left="6600" w:hanging="180"/>
      </w:pPr>
    </w:lvl>
  </w:abstractNum>
  <w:abstractNum w:abstractNumId="4">
    <w:nsid w:val="2BDB3EBF"/>
    <w:multiLevelType w:val="hybridMultilevel"/>
    <w:tmpl w:val="C1043C5C"/>
    <w:lvl w:ilvl="0" w:tplc="535C7EF0">
      <w:start w:val="1"/>
      <w:numFmt w:val="upperRoman"/>
      <w:lvlText w:val="%1 -"/>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235F3C"/>
    <w:multiLevelType w:val="hybridMultilevel"/>
    <w:tmpl w:val="1E3C5E42"/>
    <w:lvl w:ilvl="0" w:tplc="6AFE29DA">
      <w:start w:val="1"/>
      <w:numFmt w:val="upperRoman"/>
      <w:suff w:val="space"/>
      <w:lvlText w:val="%1 -"/>
      <w:lvlJc w:val="left"/>
      <w:pPr>
        <w:ind w:left="1637"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3210" w:hanging="360"/>
      </w:pPr>
    </w:lvl>
    <w:lvl w:ilvl="2" w:tplc="0416001B">
      <w:start w:val="1"/>
      <w:numFmt w:val="lowerRoman"/>
      <w:lvlText w:val="%3."/>
      <w:lvlJc w:val="right"/>
      <w:pPr>
        <w:ind w:left="3930" w:hanging="180"/>
      </w:pPr>
    </w:lvl>
    <w:lvl w:ilvl="3" w:tplc="0416000F">
      <w:start w:val="1"/>
      <w:numFmt w:val="decimal"/>
      <w:lvlText w:val="%4."/>
      <w:lvlJc w:val="left"/>
      <w:pPr>
        <w:ind w:left="4650" w:hanging="360"/>
      </w:pPr>
    </w:lvl>
    <w:lvl w:ilvl="4" w:tplc="04160019">
      <w:start w:val="1"/>
      <w:numFmt w:val="lowerLetter"/>
      <w:lvlText w:val="%5."/>
      <w:lvlJc w:val="left"/>
      <w:pPr>
        <w:ind w:left="5370" w:hanging="360"/>
      </w:pPr>
    </w:lvl>
    <w:lvl w:ilvl="5" w:tplc="0416001B">
      <w:start w:val="1"/>
      <w:numFmt w:val="lowerRoman"/>
      <w:lvlText w:val="%6."/>
      <w:lvlJc w:val="right"/>
      <w:pPr>
        <w:ind w:left="6090" w:hanging="180"/>
      </w:pPr>
    </w:lvl>
    <w:lvl w:ilvl="6" w:tplc="0416000F">
      <w:start w:val="1"/>
      <w:numFmt w:val="decimal"/>
      <w:lvlText w:val="%7."/>
      <w:lvlJc w:val="left"/>
      <w:pPr>
        <w:ind w:left="6810" w:hanging="360"/>
      </w:pPr>
    </w:lvl>
    <w:lvl w:ilvl="7" w:tplc="04160019">
      <w:start w:val="1"/>
      <w:numFmt w:val="lowerLetter"/>
      <w:lvlText w:val="%8."/>
      <w:lvlJc w:val="left"/>
      <w:pPr>
        <w:ind w:left="7530" w:hanging="360"/>
      </w:pPr>
    </w:lvl>
    <w:lvl w:ilvl="8" w:tplc="0416001B">
      <w:start w:val="1"/>
      <w:numFmt w:val="lowerRoman"/>
      <w:lvlText w:val="%9."/>
      <w:lvlJc w:val="right"/>
      <w:pPr>
        <w:ind w:left="8250" w:hanging="180"/>
      </w:pPr>
    </w:lvl>
  </w:abstractNum>
  <w:abstractNum w:abstractNumId="6">
    <w:nsid w:val="4CAF107A"/>
    <w:multiLevelType w:val="hybridMultilevel"/>
    <w:tmpl w:val="79AC5E9C"/>
    <w:lvl w:ilvl="0" w:tplc="CEE238F0">
      <w:start w:val="3"/>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24FC4"/>
    <w:rsid w:val="000E514E"/>
    <w:rsid w:val="00104416"/>
    <w:rsid w:val="001A7E21"/>
    <w:rsid w:val="00230B98"/>
    <w:rsid w:val="002933AF"/>
    <w:rsid w:val="002F1AFB"/>
    <w:rsid w:val="00331679"/>
    <w:rsid w:val="0036637A"/>
    <w:rsid w:val="00381DD5"/>
    <w:rsid w:val="003A2CC8"/>
    <w:rsid w:val="003C32C3"/>
    <w:rsid w:val="003E2255"/>
    <w:rsid w:val="0043632E"/>
    <w:rsid w:val="0044332B"/>
    <w:rsid w:val="0046205E"/>
    <w:rsid w:val="005348E1"/>
    <w:rsid w:val="00585F25"/>
    <w:rsid w:val="005970A9"/>
    <w:rsid w:val="005E279D"/>
    <w:rsid w:val="006224F7"/>
    <w:rsid w:val="0068365D"/>
    <w:rsid w:val="00730003"/>
    <w:rsid w:val="007B1959"/>
    <w:rsid w:val="007C7187"/>
    <w:rsid w:val="00893A88"/>
    <w:rsid w:val="008E6256"/>
    <w:rsid w:val="00980B4F"/>
    <w:rsid w:val="009D0C08"/>
    <w:rsid w:val="00A064BE"/>
    <w:rsid w:val="00A13AE6"/>
    <w:rsid w:val="00AB5B2B"/>
    <w:rsid w:val="00AD0255"/>
    <w:rsid w:val="00AE0BE3"/>
    <w:rsid w:val="00B26F21"/>
    <w:rsid w:val="00B828F3"/>
    <w:rsid w:val="00C054D1"/>
    <w:rsid w:val="00C51856"/>
    <w:rsid w:val="00CB08AC"/>
    <w:rsid w:val="00CE74B3"/>
    <w:rsid w:val="00D54FB3"/>
    <w:rsid w:val="00D81254"/>
    <w:rsid w:val="00E64C5B"/>
    <w:rsid w:val="00EB6718"/>
    <w:rsid w:val="00F405E8"/>
    <w:rsid w:val="00F968D5"/>
    <w:rsid w:val="00FB034C"/>
    <w:rsid w:val="00FB064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1B14A-D764-448D-9514-EC2AB337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24FC4"/>
    <w:pPr>
      <w:keepNext/>
      <w:outlineLvl w:val="0"/>
    </w:pPr>
    <w:rPr>
      <w:rFonts w:ascii="Bookman Old Style" w:hAnsi="Bookman Old Style"/>
      <w:b/>
      <w:szCs w:val="20"/>
    </w:rPr>
  </w:style>
  <w:style w:type="paragraph" w:styleId="Ttulo4">
    <w:name w:val="heading 4"/>
    <w:basedOn w:val="Normal"/>
    <w:next w:val="Normal"/>
    <w:link w:val="Ttulo4Char"/>
    <w:uiPriority w:val="9"/>
    <w:semiHidden/>
    <w:unhideWhenUsed/>
    <w:qFormat/>
    <w:rsid w:val="00B828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customStyle="1" w:styleId="ZBZAZC">
    <w:name w:val="ZB ZA ZC"/>
    <w:rsid w:val="003E2255"/>
    <w:pPr>
      <w:tabs>
        <w:tab w:val="left" w:pos="720"/>
        <w:tab w:val="left" w:pos="1440"/>
        <w:tab w:val="left" w:pos="2160"/>
        <w:tab w:val="left" w:pos="2880"/>
        <w:tab w:val="left" w:pos="3600"/>
        <w:tab w:val="left" w:pos="4320"/>
        <w:tab w:val="left" w:pos="5040"/>
        <w:tab w:val="left" w:pos="5760"/>
      </w:tabs>
      <w:spacing w:after="240" w:line="280" w:lineRule="atLeast"/>
      <w:ind w:firstLine="709"/>
      <w:jc w:val="both"/>
    </w:pPr>
    <w:rPr>
      <w:rFonts w:ascii="Courier New" w:eastAsia="Times New Roman" w:hAnsi="Courier New" w:cs="Times New Roman"/>
      <w:color w:val="000000"/>
      <w:sz w:val="28"/>
      <w:szCs w:val="20"/>
      <w:lang w:val="en-US" w:eastAsia="pt-BR"/>
    </w:rPr>
  </w:style>
  <w:style w:type="character" w:styleId="Forte">
    <w:name w:val="Strong"/>
    <w:qFormat/>
    <w:rsid w:val="00730003"/>
    <w:rPr>
      <w:b/>
      <w:bCs/>
    </w:rPr>
  </w:style>
  <w:style w:type="character" w:customStyle="1" w:styleId="Ttulo1Char">
    <w:name w:val="Título 1 Char"/>
    <w:basedOn w:val="Fontepargpadro"/>
    <w:link w:val="Ttulo1"/>
    <w:rsid w:val="00024FC4"/>
    <w:rPr>
      <w:rFonts w:ascii="Bookman Old Style" w:eastAsia="Times New Roman" w:hAnsi="Bookman Old Style" w:cs="Times New Roman"/>
      <w:b/>
      <w:sz w:val="24"/>
      <w:szCs w:val="20"/>
      <w:lang w:eastAsia="pt-BR"/>
    </w:rPr>
  </w:style>
  <w:style w:type="paragraph" w:styleId="Textoembloco">
    <w:name w:val="Block Text"/>
    <w:basedOn w:val="Normal"/>
    <w:semiHidden/>
    <w:unhideWhenUsed/>
    <w:rsid w:val="00024FC4"/>
    <w:pPr>
      <w:ind w:left="3402" w:right="567"/>
      <w:jc w:val="both"/>
    </w:pPr>
    <w:rPr>
      <w:rFonts w:ascii="Arial" w:hAnsi="Arial" w:cs="Arial"/>
      <w:szCs w:val="20"/>
    </w:rPr>
  </w:style>
  <w:style w:type="paragraph" w:styleId="PargrafodaLista">
    <w:name w:val="List Paragraph"/>
    <w:basedOn w:val="Normal"/>
    <w:uiPriority w:val="34"/>
    <w:qFormat/>
    <w:rsid w:val="00FB034C"/>
    <w:pPr>
      <w:spacing w:after="200" w:line="276" w:lineRule="auto"/>
      <w:ind w:left="720"/>
      <w:contextualSpacing/>
    </w:pPr>
    <w:rPr>
      <w:rFonts w:ascii="Calibri" w:eastAsia="Calibri" w:hAnsi="Calibri"/>
      <w:sz w:val="22"/>
      <w:szCs w:val="22"/>
      <w:lang w:eastAsia="en-US"/>
    </w:rPr>
  </w:style>
  <w:style w:type="character" w:styleId="Hyperlink">
    <w:name w:val="Hyperlink"/>
    <w:basedOn w:val="Fontepargpadro"/>
    <w:uiPriority w:val="99"/>
    <w:semiHidden/>
    <w:unhideWhenUsed/>
    <w:rsid w:val="00FB034C"/>
    <w:rPr>
      <w:color w:val="0000FF"/>
      <w:u w:val="single"/>
    </w:rPr>
  </w:style>
  <w:style w:type="paragraph" w:styleId="Recuodecorpodetexto2">
    <w:name w:val="Body Text Indent 2"/>
    <w:basedOn w:val="Normal"/>
    <w:link w:val="Recuodecorpodetexto2Char"/>
    <w:uiPriority w:val="99"/>
    <w:semiHidden/>
    <w:unhideWhenUsed/>
    <w:rsid w:val="0046205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6205E"/>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B828F3"/>
    <w:rPr>
      <w:rFonts w:asciiTheme="majorHAnsi" w:eastAsiaTheme="majorEastAsia" w:hAnsiTheme="majorHAnsi" w:cstheme="majorBidi"/>
      <w:i/>
      <w:iCs/>
      <w:color w:val="365F91" w:themeColor="accent1" w:themeShade="B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7964">
      <w:bodyDiv w:val="1"/>
      <w:marLeft w:val="0"/>
      <w:marRight w:val="0"/>
      <w:marTop w:val="0"/>
      <w:marBottom w:val="0"/>
      <w:divBdr>
        <w:top w:val="none" w:sz="0" w:space="0" w:color="auto"/>
        <w:left w:val="none" w:sz="0" w:space="0" w:color="auto"/>
        <w:bottom w:val="none" w:sz="0" w:space="0" w:color="auto"/>
        <w:right w:val="none" w:sz="0" w:space="0" w:color="auto"/>
      </w:divBdr>
    </w:div>
    <w:div w:id="412246020">
      <w:bodyDiv w:val="1"/>
      <w:marLeft w:val="0"/>
      <w:marRight w:val="0"/>
      <w:marTop w:val="0"/>
      <w:marBottom w:val="0"/>
      <w:divBdr>
        <w:top w:val="none" w:sz="0" w:space="0" w:color="auto"/>
        <w:left w:val="none" w:sz="0" w:space="0" w:color="auto"/>
        <w:bottom w:val="none" w:sz="0" w:space="0" w:color="auto"/>
        <w:right w:val="none" w:sz="0" w:space="0" w:color="auto"/>
      </w:divBdr>
    </w:div>
    <w:div w:id="547956492">
      <w:bodyDiv w:val="1"/>
      <w:marLeft w:val="0"/>
      <w:marRight w:val="0"/>
      <w:marTop w:val="0"/>
      <w:marBottom w:val="0"/>
      <w:divBdr>
        <w:top w:val="none" w:sz="0" w:space="0" w:color="auto"/>
        <w:left w:val="none" w:sz="0" w:space="0" w:color="auto"/>
        <w:bottom w:val="none" w:sz="0" w:space="0" w:color="auto"/>
        <w:right w:val="none" w:sz="0" w:space="0" w:color="auto"/>
      </w:divBdr>
    </w:div>
    <w:div w:id="1089547301">
      <w:bodyDiv w:val="1"/>
      <w:marLeft w:val="0"/>
      <w:marRight w:val="0"/>
      <w:marTop w:val="0"/>
      <w:marBottom w:val="0"/>
      <w:divBdr>
        <w:top w:val="none" w:sz="0" w:space="0" w:color="auto"/>
        <w:left w:val="none" w:sz="0" w:space="0" w:color="auto"/>
        <w:bottom w:val="none" w:sz="0" w:space="0" w:color="auto"/>
        <w:right w:val="none" w:sz="0" w:space="0" w:color="auto"/>
      </w:divBdr>
    </w:div>
    <w:div w:id="1130132035">
      <w:bodyDiv w:val="1"/>
      <w:marLeft w:val="0"/>
      <w:marRight w:val="0"/>
      <w:marTop w:val="0"/>
      <w:marBottom w:val="0"/>
      <w:divBdr>
        <w:top w:val="none" w:sz="0" w:space="0" w:color="auto"/>
        <w:left w:val="none" w:sz="0" w:space="0" w:color="auto"/>
        <w:bottom w:val="none" w:sz="0" w:space="0" w:color="auto"/>
        <w:right w:val="none" w:sz="0" w:space="0" w:color="auto"/>
      </w:divBdr>
    </w:div>
    <w:div w:id="1322850643">
      <w:bodyDiv w:val="1"/>
      <w:marLeft w:val="0"/>
      <w:marRight w:val="0"/>
      <w:marTop w:val="0"/>
      <w:marBottom w:val="0"/>
      <w:divBdr>
        <w:top w:val="none" w:sz="0" w:space="0" w:color="auto"/>
        <w:left w:val="none" w:sz="0" w:space="0" w:color="auto"/>
        <w:bottom w:val="none" w:sz="0" w:space="0" w:color="auto"/>
        <w:right w:val="none" w:sz="0" w:space="0" w:color="auto"/>
      </w:divBdr>
    </w:div>
    <w:div w:id="1738891992">
      <w:bodyDiv w:val="1"/>
      <w:marLeft w:val="0"/>
      <w:marRight w:val="0"/>
      <w:marTop w:val="0"/>
      <w:marBottom w:val="0"/>
      <w:divBdr>
        <w:top w:val="none" w:sz="0" w:space="0" w:color="auto"/>
        <w:left w:val="none" w:sz="0" w:space="0" w:color="auto"/>
        <w:bottom w:val="none" w:sz="0" w:space="0" w:color="auto"/>
        <w:right w:val="none" w:sz="0" w:space="0" w:color="auto"/>
      </w:divBdr>
    </w:div>
    <w:div w:id="1780640215">
      <w:bodyDiv w:val="1"/>
      <w:marLeft w:val="0"/>
      <w:marRight w:val="0"/>
      <w:marTop w:val="0"/>
      <w:marBottom w:val="0"/>
      <w:divBdr>
        <w:top w:val="none" w:sz="0" w:space="0" w:color="auto"/>
        <w:left w:val="none" w:sz="0" w:space="0" w:color="auto"/>
        <w:bottom w:val="none" w:sz="0" w:space="0" w:color="auto"/>
        <w:right w:val="none" w:sz="0" w:space="0" w:color="auto"/>
      </w:divBdr>
    </w:div>
    <w:div w:id="209408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FD1B4-932F-43EB-B71E-D14A6F93C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2022-11-08T11:29:00Z</cp:lastPrinted>
  <dcterms:created xsi:type="dcterms:W3CDTF">2022-11-08T11:14:00Z</dcterms:created>
  <dcterms:modified xsi:type="dcterms:W3CDTF">2022-11-08T11:30:00Z</dcterms:modified>
</cp:coreProperties>
</file>