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CD0D92">
        <w:rPr>
          <w:rFonts w:ascii="Arial" w:hAnsi="Arial" w:cs="Arial"/>
          <w:b/>
          <w:sz w:val="36"/>
          <w:szCs w:val="36"/>
        </w:rPr>
        <w:t>3</w:t>
      </w:r>
      <w:r w:rsidR="004B0749">
        <w:rPr>
          <w:rFonts w:ascii="Arial" w:hAnsi="Arial" w:cs="Arial"/>
          <w:b/>
          <w:sz w:val="36"/>
          <w:szCs w:val="36"/>
        </w:rPr>
        <w:t>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5425CE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5425CE">
        <w:rPr>
          <w:rFonts w:ascii="Arial" w:hAnsi="Arial" w:cs="Arial"/>
          <w:b/>
          <w:bCs/>
          <w:iCs/>
          <w:sz w:val="26"/>
          <w:szCs w:val="26"/>
        </w:rPr>
        <w:t>Altera e acrescenta dispositivos na Lei Municipal nº 1.974, de 19 de setembro de 1998, que dispõe sobre a Política Municipal de Atendimento dos Direitos da Criança e do Adolescente.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CD0D92">
        <w:rPr>
          <w:rFonts w:ascii="Arial" w:hAnsi="Arial" w:cs="Arial"/>
          <w:szCs w:val="26"/>
        </w:rPr>
        <w:t>24</w:t>
      </w:r>
      <w:r w:rsidR="00A866B4">
        <w:rPr>
          <w:rFonts w:ascii="Arial" w:hAnsi="Arial" w:cs="Arial"/>
          <w:szCs w:val="26"/>
        </w:rPr>
        <w:t xml:space="preserve"> de </w:t>
      </w:r>
      <w:r w:rsidR="00CD0D92">
        <w:rPr>
          <w:rFonts w:ascii="Arial" w:hAnsi="Arial" w:cs="Arial"/>
          <w:szCs w:val="26"/>
        </w:rPr>
        <w:t>Outubro</w:t>
      </w:r>
      <w:r w:rsidR="009966D0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5425CE" w:rsidRPr="00DD0B9E" w:rsidRDefault="005425CE" w:rsidP="005425CE">
      <w:pPr>
        <w:spacing w:line="300" w:lineRule="exact"/>
        <w:jc w:val="both"/>
        <w:rPr>
          <w:rFonts w:ascii="Tahoma" w:hAnsi="Tahoma" w:cs="Tahoma"/>
        </w:rPr>
      </w:pPr>
    </w:p>
    <w:p w:rsidR="005425CE" w:rsidRPr="00DD0B9E" w:rsidRDefault="005425CE" w:rsidP="005425CE">
      <w:pPr>
        <w:spacing w:line="300" w:lineRule="exact"/>
        <w:ind w:firstLine="1701"/>
        <w:jc w:val="both"/>
        <w:rPr>
          <w:rFonts w:ascii="Tahoma" w:hAnsi="Tahoma" w:cs="Tahoma"/>
        </w:rPr>
      </w:pPr>
      <w:r w:rsidRPr="00DD0B9E">
        <w:rPr>
          <w:rFonts w:ascii="Tahoma" w:hAnsi="Tahoma" w:cs="Tahoma"/>
          <w:b/>
        </w:rPr>
        <w:t xml:space="preserve">Art. 1º </w:t>
      </w:r>
      <w:r w:rsidRPr="00DD0B9E">
        <w:rPr>
          <w:rFonts w:ascii="Tahoma" w:hAnsi="Tahoma" w:cs="Tahoma"/>
        </w:rPr>
        <w:t>Acrescenta o § 3º no artigo 12, da Lei Municipal nº 1.974, de 18 de setembro de 1998, com a seguinte redação:</w:t>
      </w:r>
    </w:p>
    <w:p w:rsidR="005425CE" w:rsidRPr="00DD0B9E" w:rsidRDefault="005425CE" w:rsidP="005425CE">
      <w:pPr>
        <w:spacing w:line="300" w:lineRule="exact"/>
        <w:ind w:firstLine="1701"/>
        <w:jc w:val="both"/>
        <w:rPr>
          <w:rFonts w:ascii="Tahoma" w:hAnsi="Tahoma" w:cs="Tahoma"/>
        </w:rPr>
      </w:pPr>
    </w:p>
    <w:p w:rsidR="005425CE" w:rsidRPr="00DD0B9E" w:rsidRDefault="005425CE" w:rsidP="005425CE">
      <w:pPr>
        <w:spacing w:line="300" w:lineRule="exact"/>
        <w:ind w:left="2268"/>
        <w:jc w:val="both"/>
        <w:rPr>
          <w:rFonts w:ascii="Tahoma" w:hAnsi="Tahoma" w:cs="Tahoma"/>
        </w:rPr>
      </w:pPr>
      <w:r w:rsidRPr="00DD0B9E">
        <w:rPr>
          <w:rFonts w:ascii="Tahoma" w:hAnsi="Tahoma" w:cs="Tahoma"/>
        </w:rPr>
        <w:t>“Art. 12 ........................................................................</w:t>
      </w:r>
    </w:p>
    <w:p w:rsidR="005425CE" w:rsidRPr="00DD0B9E" w:rsidRDefault="005425CE" w:rsidP="005425CE">
      <w:pPr>
        <w:spacing w:line="300" w:lineRule="exact"/>
        <w:ind w:left="2268"/>
        <w:jc w:val="both"/>
        <w:rPr>
          <w:rFonts w:ascii="Tahoma" w:hAnsi="Tahoma" w:cs="Tahoma"/>
        </w:rPr>
      </w:pPr>
    </w:p>
    <w:p w:rsidR="005425CE" w:rsidRPr="00DD0B9E" w:rsidRDefault="005425CE" w:rsidP="005425CE">
      <w:pPr>
        <w:spacing w:line="300" w:lineRule="exact"/>
        <w:ind w:left="2268"/>
        <w:jc w:val="both"/>
        <w:rPr>
          <w:rFonts w:ascii="Tahoma" w:hAnsi="Tahoma" w:cs="Tahoma"/>
        </w:rPr>
      </w:pPr>
      <w:r w:rsidRPr="00DD0B9E">
        <w:rPr>
          <w:rFonts w:ascii="Tahoma" w:hAnsi="Tahoma" w:cs="Tahoma"/>
        </w:rPr>
        <w:t>(...)</w:t>
      </w:r>
    </w:p>
    <w:p w:rsidR="005425CE" w:rsidRPr="00DD0B9E" w:rsidRDefault="005425CE" w:rsidP="005425CE">
      <w:pPr>
        <w:spacing w:line="300" w:lineRule="exact"/>
        <w:ind w:left="2268"/>
        <w:jc w:val="both"/>
        <w:rPr>
          <w:rFonts w:ascii="Tahoma" w:hAnsi="Tahoma" w:cs="Tahoma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</w:rPr>
        <w:t xml:space="preserve">§ 3º </w:t>
      </w:r>
      <w:r w:rsidRPr="00DD0B9E">
        <w:rPr>
          <w:rFonts w:ascii="Tahoma" w:hAnsi="Tahoma" w:cs="Tahoma"/>
          <w:snapToGrid w:val="0"/>
        </w:rPr>
        <w:t>O Conselho Tutelar elaborará seu Regimento Interno, a ser aprovado pelo Conselho Municipal dos Direitos da Criança e do Adolescente de Barra Bonita e publicado no Diário Oficial do Município, devendo, ainda, ser afixado em local visível na sede do órgão e encaminhado ao Poder Judiciário e Ministério Público.”</w:t>
      </w:r>
    </w:p>
    <w:p w:rsidR="005425CE" w:rsidRPr="00DD0B9E" w:rsidRDefault="005425CE" w:rsidP="005425CE">
      <w:pPr>
        <w:spacing w:line="300" w:lineRule="exact"/>
        <w:ind w:left="2268"/>
        <w:jc w:val="both"/>
        <w:rPr>
          <w:rFonts w:ascii="Tahoma" w:hAnsi="Tahoma" w:cs="Tahoma"/>
        </w:rPr>
      </w:pPr>
    </w:p>
    <w:p w:rsidR="005425CE" w:rsidRPr="00DD0B9E" w:rsidRDefault="005425CE" w:rsidP="005425CE">
      <w:pPr>
        <w:spacing w:line="300" w:lineRule="exact"/>
        <w:ind w:firstLine="1701"/>
        <w:jc w:val="both"/>
        <w:rPr>
          <w:rFonts w:ascii="Tahoma" w:hAnsi="Tahoma" w:cs="Tahoma"/>
        </w:rPr>
      </w:pPr>
      <w:r w:rsidRPr="00DD0B9E">
        <w:rPr>
          <w:rFonts w:ascii="Tahoma" w:hAnsi="Tahoma" w:cs="Tahoma"/>
          <w:b/>
        </w:rPr>
        <w:t xml:space="preserve">Art. 2º </w:t>
      </w:r>
      <w:r w:rsidRPr="00DD0B9E">
        <w:rPr>
          <w:rFonts w:ascii="Tahoma" w:hAnsi="Tahoma" w:cs="Tahoma"/>
        </w:rPr>
        <w:t>Acrescenta o artigo 12-A na Lei Municipal nº 1.974, de 18 de setembro de 1998, com a seguinte redação:</w:t>
      </w:r>
    </w:p>
    <w:p w:rsidR="005425CE" w:rsidRPr="00DD0B9E" w:rsidRDefault="005425CE" w:rsidP="005425CE">
      <w:pPr>
        <w:spacing w:line="300" w:lineRule="exact"/>
        <w:ind w:left="2268"/>
        <w:jc w:val="both"/>
        <w:rPr>
          <w:rFonts w:ascii="Tahoma" w:hAnsi="Tahoma" w:cs="Tahoma"/>
        </w:rPr>
      </w:pPr>
    </w:p>
    <w:p w:rsidR="005425CE" w:rsidRPr="00DD0B9E" w:rsidRDefault="005425CE" w:rsidP="005425CE">
      <w:pPr>
        <w:widowControl w:val="0"/>
        <w:spacing w:line="30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“Art. 12-A O Conselho Tutelar do Município de Barra Bonita atenderá ao público no horário das 8h às 17h, de segunda a sexta-feira e, após as 18 horas e aos finais de semana, em regime de sobreaviso.</w:t>
      </w:r>
    </w:p>
    <w:p w:rsidR="005425CE" w:rsidRPr="00DD0B9E" w:rsidRDefault="005425CE" w:rsidP="005425CE">
      <w:pPr>
        <w:widowControl w:val="0"/>
        <w:spacing w:line="30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1º Cada Conselheiro deverá cumprir carga horária diária de 06 (seis) horas de trabalho devidamente registrada em sistema ponto eletrônico, de segunda a sexta-feira, na sede do Conselho, totalizando 30 (trinta) horas semanais, de modo a se organizarem para manter a Sede aberta ininterruptamente das 8</w:t>
      </w:r>
      <w:r>
        <w:rPr>
          <w:rFonts w:ascii="Tahoma" w:hAnsi="Tahoma" w:cs="Tahoma"/>
          <w:snapToGrid w:val="0"/>
        </w:rPr>
        <w:t>h</w:t>
      </w:r>
      <w:r w:rsidRPr="00DD0B9E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>à</w:t>
      </w:r>
      <w:r w:rsidRPr="00DD0B9E">
        <w:rPr>
          <w:rFonts w:ascii="Tahoma" w:hAnsi="Tahoma" w:cs="Tahoma"/>
          <w:snapToGrid w:val="0"/>
        </w:rPr>
        <w:t>s 17h.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 xml:space="preserve">§ 2º Todos os membros do Conselho Tutelar serão submetidos a mesma carga horária semanal de trabalho, bem como aos mesmos períodos de sobreaviso, sendo vedado qualquer </w:t>
      </w:r>
      <w:r w:rsidRPr="00DD0B9E">
        <w:rPr>
          <w:rFonts w:ascii="Tahoma" w:hAnsi="Tahoma" w:cs="Tahoma"/>
          <w:snapToGrid w:val="0"/>
        </w:rPr>
        <w:lastRenderedPageBreak/>
        <w:t>tratamento desigual.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3º Será realizada uma escala dos conselheiros em regime de sobreaviso, devendo ser encaminhada ao Conselho Municipal dos Direitos da Criança e do Adolescente de Barra Bonita, bem como fixar em lugar visível na sede do Conselho.</w:t>
      </w:r>
    </w:p>
    <w:p w:rsidR="005425CE" w:rsidRPr="00DD0B9E" w:rsidRDefault="005425CE" w:rsidP="005425CE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4º A fiscalização do cumprimento do horário de funcionamento do Conselho Tutelar e da jornada de trabalho de seus membros será realizada pelo Conselho Municipal dos Direitos da Criança e do Adolescente de Barra Bonita.</w:t>
      </w:r>
    </w:p>
    <w:p w:rsidR="005425CE" w:rsidRPr="00DD0B9E" w:rsidRDefault="005425CE" w:rsidP="005425CE">
      <w:pPr>
        <w:widowControl w:val="0"/>
        <w:spacing w:line="320" w:lineRule="exact"/>
        <w:ind w:left="2268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5º O veículo do</w:t>
      </w:r>
      <w:r>
        <w:rPr>
          <w:rFonts w:ascii="Tahoma" w:hAnsi="Tahoma" w:cs="Tahoma"/>
          <w:snapToGrid w:val="0"/>
        </w:rPr>
        <w:t xml:space="preserve"> Conselho Tutelar ficará sob a </w:t>
      </w:r>
      <w:r w:rsidRPr="00DD0B9E">
        <w:rPr>
          <w:rFonts w:ascii="Tahoma" w:hAnsi="Tahoma" w:cs="Tahoma"/>
          <w:snapToGrid w:val="0"/>
        </w:rPr>
        <w:t>responsabilidade do conselheiro tutelar escalado no sobreaviso.”</w:t>
      </w:r>
    </w:p>
    <w:p w:rsidR="005425CE" w:rsidRPr="00DD0B9E" w:rsidRDefault="005425CE" w:rsidP="005425CE">
      <w:pPr>
        <w:widowControl w:val="0"/>
        <w:spacing w:line="320" w:lineRule="exact"/>
        <w:ind w:firstLine="709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firstLine="1843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b/>
          <w:snapToGrid w:val="0"/>
        </w:rPr>
        <w:t xml:space="preserve">Art. 3º </w:t>
      </w:r>
      <w:r w:rsidRPr="00DD0B9E">
        <w:rPr>
          <w:rFonts w:ascii="Tahoma" w:hAnsi="Tahoma" w:cs="Tahoma"/>
          <w:snapToGrid w:val="0"/>
        </w:rPr>
        <w:t>O Artigo 14 da Lei Municipal nº 1.974, de 18 de setembro de 1998, passa a vigorar com a seguinte redação:</w:t>
      </w:r>
    </w:p>
    <w:p w:rsidR="005425CE" w:rsidRPr="00DD0B9E" w:rsidRDefault="005425CE" w:rsidP="005425CE">
      <w:pPr>
        <w:widowControl w:val="0"/>
        <w:spacing w:line="320" w:lineRule="exact"/>
        <w:ind w:firstLine="1843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“Art. 14 O Conselho Tutelar atenderá as partes mantendo o registro das providências tomadas em cada caso e as decisões desse órgão serão tomadas pelo seu colegiado em sessões realizadas em dias úteis, conforme dispuser seu Regimento Interno.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1º As decisões serão tomadas por maioria dos votos, cabendo o Presidente o voto de desempate, somente podendo ser revistas pela autoridade judiciária, a pedido de quem tenha legítimo interesse.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2º As medidas de caráter emergencial, tomadas durante os plantões, serão comunicadas ao colegiado no primeiro dia útil subsequente, para ratificação ou retificação.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3º As decisões serão motivadas e comunicadas formalmente aos interessados, mediante documento escrito, no prazo máximo de quarenta e oito horas, sem prejuízo de seu registro em arquivo próprio, na sede do Conselho Tutelar.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4º Se não localizado, o interessado será intimado através de publicação do extrato da decisão na sede do Conselho Tutelar, admitindo-se outras formas de publicação, de acordo com o disposto na legislação local.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 xml:space="preserve">§ 5º É garantido ao Ministério Público, à autoridade judiciária e </w:t>
      </w:r>
      <w:r w:rsidRPr="00DD0B9E">
        <w:rPr>
          <w:rFonts w:ascii="Tahoma" w:hAnsi="Tahoma" w:cs="Tahoma"/>
          <w:snapToGrid w:val="0"/>
        </w:rPr>
        <w:lastRenderedPageBreak/>
        <w:t>ao Conselho Municipal dos Direitos da Criança e do Adolescente de Barra Bonita o acesso irrestrito aos registros do Conselho Tutelar, resguardando a sigilo perante terceiros.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6º Os demais interessados ou procuradores legalmente constituídos terão acesso às atas das sessões deliberativas e registros do Conselho Tutelar que lhes digam respeito, ressalvadas as informações que coloquem em risco a imagem ou a integridade física ou psíquica da criança ou adolescente, bem como a segurança de terceiros.</w:t>
      </w:r>
    </w:p>
    <w:p w:rsidR="005425CE" w:rsidRPr="00DD0B9E" w:rsidRDefault="005425CE" w:rsidP="005425CE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7º Para os efeitos deste artigo, são considerados interessados os pais ou responsáveis legal da criança ou adolescente atendido, bem como os destinatários das medidas e das requisições de serviço efetuadas.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8º Nas reuniões deliberativas do Conselho Tutelar será obrigatório o registro das decisões tomadas pelo colegiado em ata, a qual terá acesso irrestrito o Poder Judiciário, Ministério Público e o Conselho Municipal dos Direitos da Criança e do Adolescente de Barra Bonita.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9º O Conselho Tutelar encaminhará relatório bimestral ao Conselho Municipal dos Direitos da Criança e do Adolescente de Barra Bonita, ao Ministério Público e ao Juízo da Vara da Infância e Juventude de Barra Bonita, contendo a síntese dos dados referentes ao exercício de suas atribuições, bem como as demandas e deficiências na implementação das políticas públicas, de modo que sejam definidas estratégias e deliberadas providências necessárias para solucionar os problemas existentes.”</w:t>
      </w:r>
    </w:p>
    <w:p w:rsidR="005425CE" w:rsidRPr="00DD0B9E" w:rsidRDefault="005425CE" w:rsidP="005425CE">
      <w:pPr>
        <w:widowControl w:val="0"/>
        <w:spacing w:line="320" w:lineRule="exact"/>
        <w:ind w:firstLine="1843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firstLine="1843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b/>
          <w:snapToGrid w:val="0"/>
        </w:rPr>
        <w:t xml:space="preserve">Art. 4º </w:t>
      </w:r>
      <w:r w:rsidRPr="00DD0B9E">
        <w:rPr>
          <w:rFonts w:ascii="Tahoma" w:hAnsi="Tahoma" w:cs="Tahoma"/>
          <w:snapToGrid w:val="0"/>
        </w:rPr>
        <w:t>Ficam inseridos as Seções III e IV no Capítulo IV da Lei Municipal nº 1.974, de 18 de setembro de 1998, bem como os artigos     14-A, 14-B, 14-C, 14-D, 14-E e 14-F.</w:t>
      </w:r>
    </w:p>
    <w:p w:rsidR="005425CE" w:rsidRPr="00DD0B9E" w:rsidRDefault="005425CE" w:rsidP="005425CE">
      <w:pPr>
        <w:widowControl w:val="0"/>
        <w:spacing w:line="320" w:lineRule="exact"/>
        <w:ind w:firstLine="1843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center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“SEÇÃO III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center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center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Do princípio e cautelas a serem observados no atendimento pelo Conselho Tutelar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 xml:space="preserve">Art. 14-A No exercício de suas atribuições, o Conselho Tutelar deverá observar as normas e princípios contidos na Constituição, na Lei nº 8.69, de 13 de julho de 1990, na Convenção das Nações </w:t>
      </w:r>
      <w:r w:rsidRPr="00DD0B9E">
        <w:rPr>
          <w:rFonts w:ascii="Tahoma" w:hAnsi="Tahoma" w:cs="Tahoma"/>
          <w:snapToGrid w:val="0"/>
        </w:rPr>
        <w:lastRenderedPageBreak/>
        <w:t>Unidas sobre os Direitos da Criança, Promulgada pelo Decreto nº 99.710, de 21 de novembro de 1990, bem como nas Resoluções do CONANDA, especialmente: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I – condição da criança e do adolescente como sujeitos de direitos;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II – proteção integral e prioritária dos direitos da criança e do adolescente;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III – responsabilidade da família, da comunidade da sociedade em geral, e do Poder Público pela plena efetivação dos direitos assegurados a crianças e adolescentes;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IV- municipalização da política de atendimento a crianças e adolescentes;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V – respeito à intimidade e à imagem da criança e do adolescente;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VI – intervenção precoce, logo que a situação de perigo seja reconhecida;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VII – intervenção mínima das autoridades e instituições na promoção e proteção dos direitos da criança e do adolescente;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VIII – proporcionalidade e atualidade da intervenção tutelar;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 xml:space="preserve">IX – intervenção tutelar que incentive a responsabilidade parental com a criança e </w:t>
      </w:r>
      <w:proofErr w:type="spellStart"/>
      <w:r w:rsidRPr="00DD0B9E">
        <w:rPr>
          <w:rFonts w:ascii="Tahoma" w:hAnsi="Tahoma" w:cs="Tahoma"/>
          <w:snapToGrid w:val="0"/>
        </w:rPr>
        <w:t>o</w:t>
      </w:r>
      <w:proofErr w:type="spellEnd"/>
      <w:r w:rsidRPr="00DD0B9E">
        <w:rPr>
          <w:rFonts w:ascii="Tahoma" w:hAnsi="Tahoma" w:cs="Tahoma"/>
          <w:snapToGrid w:val="0"/>
        </w:rPr>
        <w:t xml:space="preserve"> adolescente;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 xml:space="preserve">X – prevalência das medidas que mantenham ou reintegrem a criança e </w:t>
      </w:r>
      <w:proofErr w:type="spellStart"/>
      <w:r w:rsidRPr="00DD0B9E">
        <w:rPr>
          <w:rFonts w:ascii="Tahoma" w:hAnsi="Tahoma" w:cs="Tahoma"/>
          <w:snapToGrid w:val="0"/>
        </w:rPr>
        <w:t>o</w:t>
      </w:r>
      <w:proofErr w:type="spellEnd"/>
      <w:r w:rsidRPr="00DD0B9E">
        <w:rPr>
          <w:rFonts w:ascii="Tahoma" w:hAnsi="Tahoma" w:cs="Tahoma"/>
          <w:snapToGrid w:val="0"/>
        </w:rPr>
        <w:t xml:space="preserve"> adolescente na sua família natural ou extensa ou se isto não for possível em família substituta;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 xml:space="preserve">XI – obrigatoriedade da informação à criança e ao adolescente, respeitada sua idade e capacidade de compreensão, assim como aos seus pais ou responsável, acerca dos seus direitos, dos motivos que determinaram a intervenção e da forma como se processo; e 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 xml:space="preserve">XII – oitiva obrigatória e participação da criança e do adolescente, em separado ou na companhia dos pais, responsável ou de pessoa por si indicada, nos atos e na definição </w:t>
      </w:r>
      <w:r w:rsidRPr="00DD0B9E">
        <w:rPr>
          <w:rFonts w:ascii="Tahoma" w:hAnsi="Tahoma" w:cs="Tahoma"/>
          <w:snapToGrid w:val="0"/>
        </w:rPr>
        <w:lastRenderedPageBreak/>
        <w:t>da medida de promoção dos direitos e de proteção, de modo que sua opinião seja devidamente considerada pelo Conselho Tutelar.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Parágrafo único. No exercício da atribuição previ</w:t>
      </w:r>
      <w:r>
        <w:rPr>
          <w:rFonts w:ascii="Tahoma" w:hAnsi="Tahoma" w:cs="Tahoma"/>
          <w:snapToGrid w:val="0"/>
        </w:rPr>
        <w:t>sta no art. 95, da Lei nº 8.069,</w:t>
      </w:r>
      <w:r w:rsidRPr="00DD0B9E">
        <w:rPr>
          <w:rFonts w:ascii="Tahoma" w:hAnsi="Tahoma" w:cs="Tahoma"/>
          <w:snapToGrid w:val="0"/>
        </w:rPr>
        <w:t xml:space="preserve"> de 13 de julho de 1990, constatando a existência de irregularidade na entidade fiscalizada ou no programa de atendimento executado, o Conselho Tutelar comunicará o fato ao Conselho Municipal dos Direitos da Criança e do Adolescente de Barra Bonita e ao Ministério Público, na forma do art. 191 da mesma Lei.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Art. 14-B O Conselho Tutelar articulará ações para o estrito cumprimento de suas atribuições, de modo a agilizar o atendimento junto aos órgãos governamentais, e não governamentais, encarregados da execução das políticas de atendimento de crianças, adolescentes e suas respectivas famílias.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Parágrafo único. Articulação similar será também efetuada junto às Policias Civil e Militar, Ministério Público, Poder Judiciário, Conselho Municipal dos Direitos da Criança e do Adolescente, de modo que seu acionamento seja efetuado como o máximo de urgência, sempre que necessário.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 xml:space="preserve">Art. 14-C A atuação do Conselho Tutelar deve ser voltada à solução efetiva e definitiva dos casos atendidos, com o objetivo de </w:t>
      </w:r>
      <w:proofErr w:type="spellStart"/>
      <w:r w:rsidRPr="00DD0B9E">
        <w:rPr>
          <w:rFonts w:ascii="Tahoma" w:hAnsi="Tahoma" w:cs="Tahoma"/>
          <w:snapToGrid w:val="0"/>
        </w:rPr>
        <w:t>desjudicializar</w:t>
      </w:r>
      <w:proofErr w:type="spellEnd"/>
      <w:r w:rsidRPr="00DD0B9E">
        <w:rPr>
          <w:rFonts w:ascii="Tahoma" w:hAnsi="Tahoma" w:cs="Tahoma"/>
          <w:snapToGrid w:val="0"/>
        </w:rPr>
        <w:t>, desburocratizar e agilizar o atendimento das crianças e dos adolescentes, ressalvadas as disposições previstas na Lei nº 8.069, de 13 de julho de 1990.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Parágrafo único. O Caráter resolutivo da intervenção do Conselho Tutelar não impede que o Poder Judiciário seja informado das providências tomadas ou acionado, sempre que necessário.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center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center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SEÇÃO IV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center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center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Dos deveres e vedações dos membros do Conselho Tutelar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Art. 14-D São deveres dos membros do Conselho Tutelar: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I – manter conduta pública e particular ilibada;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II – zelar pelo prestígio da instituição;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lastRenderedPageBreak/>
        <w:t>III – indicar os fundamentos de seus pronunciamentos administrativos, submetendo sua manifestação à deliberação do colegiado;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IV – Obedecer aos prazos regimentais para suas manifestações e exercício das demais atribuições;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 xml:space="preserve">V – comparecer às sessões deliberativas do Conselho Tutelar e do Conselho Municipal da Criança e do Adolescente, às capacitações, treinamentos, reuniões de Rede sempre que forem convocados; </w:t>
      </w:r>
    </w:p>
    <w:p w:rsidR="005425CE" w:rsidRPr="00DD0B9E" w:rsidRDefault="005425CE" w:rsidP="005425CE">
      <w:pPr>
        <w:widowControl w:val="0"/>
        <w:tabs>
          <w:tab w:val="left" w:pos="6720"/>
        </w:tabs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ab/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VI – desempenhar suas funções com zelo, presteza e dedicação;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VII – declarar-se suspeitos ou impedidos;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VIII – adotar, nos limites de suas atribuições, as medidas cabíveis em face de irregularidade no atendimento a crianças, adolescentes e famílias;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IX – tratar com urbanidade os interessados, testemunhas, funcionários e auxiliares do Conselho Tutelar e dos demais integrantes de órgão de defesa dos direitos da criança e do adolescente;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X – residir no Município;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XI – prestar as informações solicitadas pelas autoridades públicas e pelas pessoas que tenham legítimo interesse ou seus procuradores legalmente constituídos;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 xml:space="preserve">XII – identificar-se em suas manifestações funcionais; e 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XIII – atender aos interessados, a qualquer momento, nos casos urgentes.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Parágrafo único. Em qualquer caso, a atuação do membro do Conselho Tutelar será voltada a defesa dos direitos fundamentais das crianças e adolescentes, cabendo-lhes, com o apoio do colegiado, tomar as medidas necessárias à proteção integral que lhes é devida.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Art. 14-E É vedado aos membros do Conselho Tutelar: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lastRenderedPageBreak/>
        <w:t>I – receber, a qualquer título e sob qualquer pretexto, vantagem pessoal de qualquer natureza;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II – utilizar-se do Conselho Tutelar para o exercício de propaganda e atividade político-partidária;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III – ausentar-se da sede do Conselho Tutelar durante o expediente, salvo quando em diligências ou por necessidade do serviço;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IV – opor resistência injustificada ao andamento do serviço;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V – delegar a pessoa que não seja membro do Conselho Tutelar o desempenho da atribuição que seja de sua responsabilidade;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VI – valer-se da função para lograr proveito pessoal ou de outrem;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VII – receber comissões, presentes ou vantagens de qualquer espécie, em razão de suas atribuições;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VIII – proceder de forma desidiosa;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IX – exercer quaisquer atividades que sejam incompatíveis com o exercício da função e com o horário de trabalho;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X – exceder no exercício da função, abusando de suas atribuições específicas, nos termos previstos na Lei nº 4.898, de 09 de dezembro de 1965;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 xml:space="preserve">XI – deixar de submeter ao Colegiado as decisões individuais referentes à aplicação de medidas protetivas a crianças, adolescentes, pais ou responsáveis, previstas nos </w:t>
      </w:r>
      <w:proofErr w:type="spellStart"/>
      <w:r w:rsidRPr="00DD0B9E">
        <w:rPr>
          <w:rFonts w:ascii="Tahoma" w:hAnsi="Tahoma" w:cs="Tahoma"/>
          <w:snapToGrid w:val="0"/>
        </w:rPr>
        <w:t>arts</w:t>
      </w:r>
      <w:proofErr w:type="spellEnd"/>
      <w:r w:rsidRPr="00DD0B9E">
        <w:rPr>
          <w:rFonts w:ascii="Tahoma" w:hAnsi="Tahoma" w:cs="Tahoma"/>
          <w:snapToGrid w:val="0"/>
        </w:rPr>
        <w:t>. 101 e 129 da Lei nº 8.069/1990; e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XII - descumprir os deveres funcionais previstos na legislação local relativa ao Conselho Tutelar.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Parágrafo único. A função de membro do Conselho Tutelar exige dedicação exclusiva, vedado o exercício concomitante de qualquer outra atividade pública ou privada.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Art. 14-F O membro do Conselho Tutelar será declarado impedido de analisar o caso quando: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I – a situação atendida envolver cônjuge, companheiro, ou parentes em linha reta, colateral ou por afinidade, até o terceiro grau, inclusive amigo íntimo ou inimigo capital de qualquer dos interessados;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 xml:space="preserve">II – algum dos interessados for credor ou devedor do membro do Conselho Tutelar, de seu cônjuge, companheiro, ainda que em união </w:t>
      </w:r>
      <w:proofErr w:type="spellStart"/>
      <w:r w:rsidRPr="00DD0B9E">
        <w:rPr>
          <w:rFonts w:ascii="Tahoma" w:hAnsi="Tahoma" w:cs="Tahoma"/>
          <w:snapToGrid w:val="0"/>
        </w:rPr>
        <w:t>homoafetiva</w:t>
      </w:r>
      <w:proofErr w:type="spellEnd"/>
      <w:r w:rsidRPr="00DD0B9E">
        <w:rPr>
          <w:rFonts w:ascii="Tahoma" w:hAnsi="Tahoma" w:cs="Tahoma"/>
          <w:snapToGrid w:val="0"/>
        </w:rPr>
        <w:t>, ou parentes em linha reta, colateral ou por afinidade, até o terceiro grau, inclusive se tiver interesse na solução do caso em favor de um dos interessados.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1º O membro do Conselho Tutelar também poderá declarar suspeição por motivo de foro íntimo.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snapToGrid w:val="0"/>
        </w:rPr>
        <w:t>§ 2º O integrante poderá requerer ao Colegiado o afastamento do membro do Conselho Tutelar que considere impedido, nas hipóteses desse artigo.”</w:t>
      </w:r>
    </w:p>
    <w:p w:rsidR="005425CE" w:rsidRPr="00DD0B9E" w:rsidRDefault="005425CE" w:rsidP="005425CE">
      <w:pPr>
        <w:widowControl w:val="0"/>
        <w:spacing w:line="320" w:lineRule="exact"/>
        <w:ind w:left="2268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firstLine="1843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b/>
          <w:snapToGrid w:val="0"/>
        </w:rPr>
        <w:t xml:space="preserve">Art. 5º </w:t>
      </w:r>
      <w:r w:rsidRPr="00DD0B9E">
        <w:rPr>
          <w:rFonts w:ascii="Tahoma" w:hAnsi="Tahoma" w:cs="Tahoma"/>
          <w:snapToGrid w:val="0"/>
        </w:rPr>
        <w:t>O fica acrescido o § 4º ao artigo 15 da Lei Municipal nº 1.974, de 18 de setembro de 1998, com a seguinte redação:</w:t>
      </w:r>
    </w:p>
    <w:p w:rsidR="005425CE" w:rsidRPr="00DD0B9E" w:rsidRDefault="005425CE" w:rsidP="005425CE">
      <w:pPr>
        <w:widowControl w:val="0"/>
        <w:spacing w:line="320" w:lineRule="exact"/>
        <w:ind w:firstLine="1843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20" w:lineRule="exact"/>
        <w:ind w:firstLine="1843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spacing w:line="300" w:lineRule="exact"/>
        <w:ind w:left="2268"/>
        <w:jc w:val="both"/>
        <w:rPr>
          <w:rFonts w:ascii="Tahoma" w:hAnsi="Tahoma" w:cs="Tahoma"/>
        </w:rPr>
      </w:pPr>
      <w:r w:rsidRPr="00DD0B9E">
        <w:rPr>
          <w:rFonts w:ascii="Tahoma" w:hAnsi="Tahoma" w:cs="Tahoma"/>
        </w:rPr>
        <w:t>“Art. 12..........................................................................</w:t>
      </w:r>
    </w:p>
    <w:p w:rsidR="005425CE" w:rsidRPr="00DD0B9E" w:rsidRDefault="005425CE" w:rsidP="005425CE">
      <w:pPr>
        <w:spacing w:line="300" w:lineRule="exact"/>
        <w:ind w:left="2268"/>
        <w:jc w:val="both"/>
        <w:rPr>
          <w:rFonts w:ascii="Tahoma" w:hAnsi="Tahoma" w:cs="Tahoma"/>
        </w:rPr>
      </w:pPr>
    </w:p>
    <w:p w:rsidR="005425CE" w:rsidRPr="00DD0B9E" w:rsidRDefault="005425CE" w:rsidP="005425CE">
      <w:pPr>
        <w:spacing w:line="300" w:lineRule="exact"/>
        <w:ind w:left="2268"/>
        <w:jc w:val="both"/>
        <w:rPr>
          <w:rFonts w:ascii="Tahoma" w:hAnsi="Tahoma" w:cs="Tahoma"/>
        </w:rPr>
      </w:pPr>
      <w:r w:rsidRPr="00DD0B9E">
        <w:rPr>
          <w:rFonts w:ascii="Tahoma" w:hAnsi="Tahoma" w:cs="Tahoma"/>
        </w:rPr>
        <w:t>(...)</w:t>
      </w:r>
    </w:p>
    <w:p w:rsidR="005425CE" w:rsidRPr="00DD0B9E" w:rsidRDefault="005425CE" w:rsidP="005425CE">
      <w:pPr>
        <w:spacing w:line="300" w:lineRule="exact"/>
        <w:ind w:left="2268"/>
        <w:jc w:val="both"/>
        <w:rPr>
          <w:rFonts w:ascii="Tahoma" w:hAnsi="Tahoma" w:cs="Tahoma"/>
        </w:rPr>
      </w:pPr>
    </w:p>
    <w:p w:rsidR="005425CE" w:rsidRPr="00DD0B9E" w:rsidRDefault="005425CE" w:rsidP="005425CE">
      <w:pPr>
        <w:spacing w:line="300" w:lineRule="exact"/>
        <w:ind w:left="2268"/>
        <w:jc w:val="both"/>
        <w:rPr>
          <w:rFonts w:ascii="Tahoma" w:hAnsi="Tahoma" w:cs="Tahoma"/>
        </w:rPr>
      </w:pPr>
      <w:r w:rsidRPr="00DD0B9E">
        <w:rPr>
          <w:rFonts w:ascii="Tahoma" w:hAnsi="Tahoma" w:cs="Tahoma"/>
        </w:rPr>
        <w:t>§ 4º Fica concedida aos membros do Conselho Tutelar de Barra Bonita retribuição pecuniária correspondente no valor de R$ 2.500,00 (dois mil e quinhentos reais), g</w:t>
      </w:r>
      <w:bookmarkStart w:id="0" w:name="_GoBack"/>
      <w:bookmarkEnd w:id="0"/>
      <w:r w:rsidRPr="00DD0B9E">
        <w:rPr>
          <w:rFonts w:ascii="Tahoma" w:hAnsi="Tahoma" w:cs="Tahoma"/>
        </w:rPr>
        <w:t>arantida a revisão nos mesmos moldes da Revisão Geral dos servidores públicos municipais.”</w:t>
      </w:r>
    </w:p>
    <w:p w:rsidR="005425CE" w:rsidRPr="00DD0B9E" w:rsidRDefault="005425CE" w:rsidP="005425CE">
      <w:pPr>
        <w:widowControl w:val="0"/>
        <w:spacing w:line="300" w:lineRule="exact"/>
        <w:jc w:val="both"/>
        <w:rPr>
          <w:rFonts w:ascii="Tahoma" w:hAnsi="Tahoma" w:cs="Tahoma"/>
          <w:snapToGrid w:val="0"/>
        </w:rPr>
      </w:pPr>
    </w:p>
    <w:p w:rsidR="005425CE" w:rsidRPr="00DD0B9E" w:rsidRDefault="005425CE" w:rsidP="005425CE">
      <w:pPr>
        <w:widowControl w:val="0"/>
        <w:spacing w:line="300" w:lineRule="exact"/>
        <w:ind w:firstLine="1701"/>
        <w:jc w:val="both"/>
        <w:rPr>
          <w:rFonts w:ascii="Tahoma" w:hAnsi="Tahoma" w:cs="Tahoma"/>
          <w:snapToGrid w:val="0"/>
        </w:rPr>
      </w:pPr>
      <w:r w:rsidRPr="00DD0B9E">
        <w:rPr>
          <w:rFonts w:ascii="Tahoma" w:hAnsi="Tahoma" w:cs="Tahoma"/>
          <w:b/>
          <w:snapToGrid w:val="0"/>
        </w:rPr>
        <w:t xml:space="preserve">Art. 6º </w:t>
      </w:r>
      <w:r w:rsidRPr="00DD0B9E">
        <w:rPr>
          <w:rFonts w:ascii="Tahoma" w:hAnsi="Tahoma" w:cs="Tahoma"/>
          <w:snapToGrid w:val="0"/>
        </w:rPr>
        <w:t>Esta Lei entra em vigor na data de sua publicação, revogadas as disposições em contrário.</w:t>
      </w:r>
    </w:p>
    <w:p w:rsidR="005425CE" w:rsidRPr="00DD0B9E" w:rsidRDefault="005425CE" w:rsidP="005425CE">
      <w:pPr>
        <w:widowControl w:val="0"/>
        <w:spacing w:line="300" w:lineRule="exact"/>
        <w:jc w:val="both"/>
        <w:rPr>
          <w:rFonts w:ascii="Tahoma" w:hAnsi="Tahoma" w:cs="Tahoma"/>
          <w:snapToGrid w:val="0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CD0D92">
        <w:rPr>
          <w:rFonts w:ascii="Arial" w:hAnsi="Arial" w:cs="Arial"/>
          <w:szCs w:val="26"/>
        </w:rPr>
        <w:t>25</w:t>
      </w:r>
      <w:r w:rsidR="00A866B4">
        <w:rPr>
          <w:rFonts w:ascii="Arial" w:hAnsi="Arial" w:cs="Arial"/>
          <w:szCs w:val="26"/>
        </w:rPr>
        <w:t xml:space="preserve"> de </w:t>
      </w:r>
      <w:r w:rsidR="00CD0D92">
        <w:rPr>
          <w:rFonts w:ascii="Arial" w:hAnsi="Arial" w:cs="Arial"/>
          <w:szCs w:val="26"/>
        </w:rPr>
        <w:t xml:space="preserve">Outubro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D29F8" w:rsidRDefault="00DD29F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657A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866B4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2068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4</cp:revision>
  <cp:lastPrinted>2022-10-25T19:24:00Z</cp:lastPrinted>
  <dcterms:created xsi:type="dcterms:W3CDTF">2022-10-25T17:10:00Z</dcterms:created>
  <dcterms:modified xsi:type="dcterms:W3CDTF">2022-10-25T19:24:00Z</dcterms:modified>
</cp:coreProperties>
</file>