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7E3" w:rsidRPr="00A91E97" w:rsidRDefault="008F6134" w:rsidP="002E3558">
      <w:pPr>
        <w:pStyle w:val="NormalWeb"/>
        <w:shd w:val="clear" w:color="auto" w:fill="FFFFFF"/>
        <w:jc w:val="center"/>
        <w:rPr>
          <w:rFonts w:ascii="Open Sans" w:hAnsi="Open Sans" w:cs="Open Sans"/>
          <w:b/>
          <w:sz w:val="36"/>
          <w:szCs w:val="36"/>
        </w:rPr>
      </w:pPr>
      <w:r w:rsidRPr="00A91E97">
        <w:rPr>
          <w:rFonts w:ascii="Open Sans" w:hAnsi="Open Sans" w:cs="Open Sans"/>
          <w:b/>
          <w:sz w:val="36"/>
          <w:szCs w:val="36"/>
        </w:rPr>
        <w:t>PROJETO DE LEI Nº 19/2022 – L</w:t>
      </w:r>
    </w:p>
    <w:p w:rsidR="00F127E3" w:rsidRPr="00A91E97" w:rsidRDefault="00F127E3" w:rsidP="00F127E3">
      <w:pPr>
        <w:pStyle w:val="NormalWeb"/>
        <w:shd w:val="clear" w:color="auto" w:fill="FFFFFF"/>
        <w:rPr>
          <w:rFonts w:ascii="Open Sans" w:hAnsi="Open Sans" w:cs="Open Sans"/>
        </w:rPr>
      </w:pPr>
    </w:p>
    <w:p w:rsidR="00F127E3" w:rsidRPr="00A91E97" w:rsidRDefault="008F6134" w:rsidP="002E3558">
      <w:pPr>
        <w:pStyle w:val="NormalWeb"/>
        <w:shd w:val="clear" w:color="auto" w:fill="FFFFFF"/>
        <w:ind w:left="4248"/>
        <w:jc w:val="both"/>
        <w:rPr>
          <w:rFonts w:ascii="Open Sans" w:hAnsi="Open Sans" w:cs="Open Sans"/>
        </w:rPr>
      </w:pPr>
      <w:r w:rsidRPr="00A91E97">
        <w:rPr>
          <w:rFonts w:ascii="Open Sans" w:hAnsi="Open Sans" w:cs="Open Sans"/>
          <w:shd w:val="clear" w:color="auto" w:fill="FFFFFF"/>
        </w:rPr>
        <w:t>CONCEDE ISENÇÃO</w:t>
      </w:r>
      <w:r w:rsidR="002E3558" w:rsidRPr="00A91E97">
        <w:rPr>
          <w:rFonts w:ascii="Open Sans" w:hAnsi="Open Sans" w:cs="Open Sans"/>
          <w:shd w:val="clear" w:color="auto" w:fill="FFFFFF"/>
        </w:rPr>
        <w:t xml:space="preserve"> </w:t>
      </w:r>
      <w:r w:rsidRPr="00A91E97">
        <w:rPr>
          <w:rFonts w:ascii="Open Sans" w:hAnsi="Open Sans" w:cs="Open Sans"/>
          <w:shd w:val="clear" w:color="auto" w:fill="FFFFFF"/>
        </w:rPr>
        <w:t>A</w:t>
      </w:r>
      <w:r w:rsidR="002E3558" w:rsidRPr="00A91E97">
        <w:rPr>
          <w:rFonts w:ascii="Open Sans" w:hAnsi="Open Sans" w:cs="Open Sans"/>
          <w:shd w:val="clear" w:color="auto" w:fill="FFFFFF"/>
        </w:rPr>
        <w:t>OS CANDIDATOS QUE ESPECIFICA DO PAGAMENTO DE TAXA DE INSCRIÇÃO EM CONCURSOS PARA PROVIMENTO DE CARGO EFETIVO OU EMPREGO PERMANENTE EM ÓRGÃOS OU ENTIDADES DA ADMINISTRAÇÃO PÚBLICA DIRETA E INDIRETA DO</w:t>
      </w:r>
      <w:r w:rsidR="005249B9" w:rsidRPr="00A91E97">
        <w:rPr>
          <w:rFonts w:ascii="Open Sans" w:hAnsi="Open Sans" w:cs="Open Sans"/>
          <w:shd w:val="clear" w:color="auto" w:fill="FFFFFF"/>
        </w:rPr>
        <w:t>S PODERES DO</w:t>
      </w:r>
      <w:r w:rsidR="002E3558" w:rsidRPr="00A91E97">
        <w:rPr>
          <w:rFonts w:ascii="Open Sans" w:hAnsi="Open Sans" w:cs="Open Sans"/>
          <w:shd w:val="clear" w:color="auto" w:fill="FFFFFF"/>
        </w:rPr>
        <w:t xml:space="preserve"> MUNICÍPIO.</w:t>
      </w:r>
    </w:p>
    <w:p w:rsidR="00F127E3" w:rsidRPr="00A91E97" w:rsidRDefault="00F127E3" w:rsidP="00F127E3">
      <w:pPr>
        <w:pStyle w:val="NormalWeb"/>
        <w:shd w:val="clear" w:color="auto" w:fill="FFFFFF"/>
        <w:rPr>
          <w:rFonts w:ascii="Open Sans" w:hAnsi="Open Sans" w:cs="Open Sans"/>
        </w:rPr>
      </w:pPr>
    </w:p>
    <w:p w:rsidR="00F127E3" w:rsidRPr="00A91E97" w:rsidRDefault="008F6134" w:rsidP="00F127E3">
      <w:pPr>
        <w:pStyle w:val="NormalWeb"/>
        <w:shd w:val="clear" w:color="auto" w:fill="FFFFFF"/>
        <w:jc w:val="both"/>
        <w:rPr>
          <w:rFonts w:ascii="Open Sans" w:hAnsi="Open Sans" w:cs="Open Sans"/>
        </w:rPr>
      </w:pPr>
      <w:r w:rsidRPr="00A91E97">
        <w:rPr>
          <w:rFonts w:ascii="Open Sans" w:hAnsi="Open Sans" w:cs="Open Sans"/>
          <w:b/>
        </w:rPr>
        <w:t>Art. 1º</w:t>
      </w:r>
      <w:r w:rsidRPr="00A91E97">
        <w:rPr>
          <w:rFonts w:ascii="Open Sans" w:hAnsi="Open Sans" w:cs="Open Sans"/>
        </w:rPr>
        <w:t xml:space="preserve"> </w:t>
      </w:r>
      <w:r w:rsidR="005A52A0" w:rsidRPr="00A91E97">
        <w:rPr>
          <w:rFonts w:ascii="Open Sans" w:hAnsi="Open Sans" w:cs="Open Sans"/>
        </w:rPr>
        <w:t>São isentos do pagamento de taxa de inscrição em concursos públicos para provimento de cargo efetivo ou emprego permanente em órgãos ou entidades da administração pública direta ou indireta de qualquer dos Poderes do Município</w:t>
      </w:r>
      <w:r w:rsidRPr="00A91E97">
        <w:rPr>
          <w:rFonts w:ascii="Open Sans" w:hAnsi="Open Sans" w:cs="Open Sans"/>
        </w:rPr>
        <w:t>:</w:t>
      </w:r>
    </w:p>
    <w:p w:rsidR="00F127E3" w:rsidRPr="00A91E97" w:rsidRDefault="008F6134" w:rsidP="00F127E3">
      <w:pPr>
        <w:pStyle w:val="NormalWeb"/>
        <w:shd w:val="clear" w:color="auto" w:fill="FFFFFF"/>
        <w:jc w:val="both"/>
        <w:rPr>
          <w:rFonts w:ascii="Open Sans" w:hAnsi="Open Sans" w:cs="Open Sans"/>
        </w:rPr>
      </w:pPr>
      <w:r w:rsidRPr="00A91E97">
        <w:rPr>
          <w:rFonts w:ascii="Open Sans" w:hAnsi="Open Sans" w:cs="Open Sans"/>
          <w:b/>
        </w:rPr>
        <w:t>     I -</w:t>
      </w:r>
      <w:r w:rsidRPr="00A91E97">
        <w:rPr>
          <w:rFonts w:ascii="Open Sans" w:hAnsi="Open Sans" w:cs="Open Sans"/>
        </w:rPr>
        <w:t xml:space="preserve"> os candidatos que pertençam a família inscrita no Cadastro Único para Programas Sociais (CadÚnico), do Governo Federal, cuja renda familiar mensal per capita seja inferior ou igual a meio salário-mínimo nacional;</w:t>
      </w:r>
    </w:p>
    <w:p w:rsidR="00F127E3" w:rsidRPr="00A91E97" w:rsidRDefault="008F6134" w:rsidP="00F127E3">
      <w:pPr>
        <w:pStyle w:val="NormalWeb"/>
        <w:shd w:val="clear" w:color="auto" w:fill="FFFFFF"/>
        <w:jc w:val="both"/>
        <w:rPr>
          <w:rFonts w:ascii="Open Sans" w:hAnsi="Open Sans" w:cs="Open Sans"/>
        </w:rPr>
      </w:pPr>
      <w:r w:rsidRPr="00A91E97">
        <w:rPr>
          <w:rFonts w:ascii="Open Sans" w:hAnsi="Open Sans" w:cs="Open Sans"/>
          <w:b/>
        </w:rPr>
        <w:t>     II -</w:t>
      </w:r>
      <w:r w:rsidRPr="00A91E97">
        <w:rPr>
          <w:rFonts w:ascii="Open Sans" w:hAnsi="Open Sans" w:cs="Open Sans"/>
        </w:rPr>
        <w:t xml:space="preserve"> os candidatos doadore</w:t>
      </w:r>
      <w:r w:rsidRPr="00A91E97">
        <w:rPr>
          <w:rFonts w:ascii="Open Sans" w:hAnsi="Open Sans" w:cs="Open Sans"/>
        </w:rPr>
        <w:t>s de medula óssea em entidades reconhecidas pelo Ministério da Saúde.</w:t>
      </w:r>
    </w:p>
    <w:p w:rsidR="00F127E3" w:rsidRPr="00A91E97" w:rsidRDefault="008F6134" w:rsidP="00F127E3">
      <w:pPr>
        <w:pStyle w:val="NormalWeb"/>
        <w:shd w:val="clear" w:color="auto" w:fill="FFFFFF"/>
        <w:jc w:val="both"/>
        <w:rPr>
          <w:rFonts w:ascii="Open Sans" w:hAnsi="Open Sans" w:cs="Open Sans"/>
        </w:rPr>
      </w:pPr>
      <w:r w:rsidRPr="00A91E97">
        <w:rPr>
          <w:rFonts w:ascii="Open Sans" w:hAnsi="Open Sans" w:cs="Open Sans"/>
          <w:b/>
        </w:rPr>
        <w:t>     </w:t>
      </w:r>
      <w:r w:rsidRPr="00A91E97">
        <w:rPr>
          <w:rStyle w:val="nfase"/>
          <w:rFonts w:ascii="Open Sans" w:hAnsi="Open Sans" w:cs="Open Sans"/>
          <w:b/>
          <w:i w:val="0"/>
        </w:rPr>
        <w:t>Parágrafo único</w:t>
      </w:r>
      <w:r w:rsidRPr="00A91E97">
        <w:rPr>
          <w:rFonts w:ascii="Open Sans" w:hAnsi="Open Sans" w:cs="Open Sans"/>
          <w:b/>
          <w:i/>
        </w:rPr>
        <w:t>.</w:t>
      </w:r>
      <w:r w:rsidRPr="00A91E97">
        <w:rPr>
          <w:rFonts w:ascii="Open Sans" w:hAnsi="Open Sans" w:cs="Open Sans"/>
        </w:rPr>
        <w:t xml:space="preserve"> O cumprimento dos requisitos para a concessão da isenção deverá ser comprovado pelo candidato no momento da inscrição, nos termos do edital do concurso.</w:t>
      </w:r>
    </w:p>
    <w:p w:rsidR="00F127E3" w:rsidRPr="00A91E97" w:rsidRDefault="008F6134" w:rsidP="00F127E3">
      <w:pPr>
        <w:pStyle w:val="NormalWeb"/>
        <w:shd w:val="clear" w:color="auto" w:fill="FFFFFF"/>
        <w:jc w:val="both"/>
        <w:rPr>
          <w:rFonts w:ascii="Open Sans" w:hAnsi="Open Sans" w:cs="Open Sans"/>
        </w:rPr>
      </w:pPr>
      <w:r w:rsidRPr="00A91E97">
        <w:rPr>
          <w:rFonts w:ascii="Open Sans" w:hAnsi="Open Sans" w:cs="Open Sans"/>
          <w:b/>
        </w:rPr>
        <w:t xml:space="preserve">     Art. </w:t>
      </w:r>
      <w:r w:rsidRPr="00A91E97">
        <w:rPr>
          <w:rFonts w:ascii="Open Sans" w:hAnsi="Open Sans" w:cs="Open Sans"/>
          <w:b/>
        </w:rPr>
        <w:t>2º</w:t>
      </w:r>
      <w:r w:rsidRPr="00A91E97">
        <w:rPr>
          <w:rFonts w:ascii="Open Sans" w:hAnsi="Open Sans" w:cs="Open Sans"/>
        </w:rPr>
        <w:t xml:space="preserve"> Sem prejuízo das sanções penais cabíveis, o candidato que prestar informação falsa com o intuito de usufruir da isenção de que trata o art. 1º estará sujeito a:</w:t>
      </w:r>
    </w:p>
    <w:p w:rsidR="00F127E3" w:rsidRPr="00A91E97" w:rsidRDefault="008F6134" w:rsidP="00F127E3">
      <w:pPr>
        <w:pStyle w:val="NormalWeb"/>
        <w:shd w:val="clear" w:color="auto" w:fill="FFFFFF"/>
        <w:jc w:val="both"/>
        <w:rPr>
          <w:rFonts w:ascii="Open Sans" w:hAnsi="Open Sans" w:cs="Open Sans"/>
        </w:rPr>
      </w:pPr>
      <w:r w:rsidRPr="00A91E97">
        <w:rPr>
          <w:rFonts w:ascii="Open Sans" w:hAnsi="Open Sans" w:cs="Open Sans"/>
          <w:b/>
        </w:rPr>
        <w:t>     I -</w:t>
      </w:r>
      <w:r w:rsidRPr="00A91E97">
        <w:rPr>
          <w:rFonts w:ascii="Open Sans" w:hAnsi="Open Sans" w:cs="Open Sans"/>
        </w:rPr>
        <w:t xml:space="preserve"> cancelamento da inscrição e exclusão do concurso, se a falsidade for constatada ant</w:t>
      </w:r>
      <w:r w:rsidRPr="00A91E97">
        <w:rPr>
          <w:rFonts w:ascii="Open Sans" w:hAnsi="Open Sans" w:cs="Open Sans"/>
        </w:rPr>
        <w:t>es da homologação de seu resultado;</w:t>
      </w:r>
    </w:p>
    <w:p w:rsidR="00F127E3" w:rsidRPr="00A91E97" w:rsidRDefault="008F6134" w:rsidP="00F127E3">
      <w:pPr>
        <w:pStyle w:val="NormalWeb"/>
        <w:shd w:val="clear" w:color="auto" w:fill="FFFFFF"/>
        <w:jc w:val="both"/>
        <w:rPr>
          <w:rFonts w:ascii="Open Sans" w:hAnsi="Open Sans" w:cs="Open Sans"/>
        </w:rPr>
      </w:pPr>
      <w:r w:rsidRPr="00A91E97">
        <w:rPr>
          <w:rFonts w:ascii="Open Sans" w:hAnsi="Open Sans" w:cs="Open Sans"/>
          <w:b/>
        </w:rPr>
        <w:t>     II -</w:t>
      </w:r>
      <w:r w:rsidRPr="00A91E97">
        <w:rPr>
          <w:rFonts w:ascii="Open Sans" w:hAnsi="Open Sans" w:cs="Open Sans"/>
        </w:rPr>
        <w:t xml:space="preserve"> exclusão da lista de aprovados, se a falsidade for constatada após a homologação do resultado e antes da nomeação para o cargo;</w:t>
      </w:r>
    </w:p>
    <w:p w:rsidR="00F127E3" w:rsidRPr="00A91E97" w:rsidRDefault="008F6134" w:rsidP="00F127E3">
      <w:pPr>
        <w:pStyle w:val="NormalWeb"/>
        <w:shd w:val="clear" w:color="auto" w:fill="FFFFFF"/>
        <w:jc w:val="both"/>
        <w:rPr>
          <w:rFonts w:ascii="Open Sans" w:hAnsi="Open Sans" w:cs="Open Sans"/>
        </w:rPr>
      </w:pPr>
      <w:r w:rsidRPr="00A91E97">
        <w:rPr>
          <w:rFonts w:ascii="Open Sans" w:hAnsi="Open Sans" w:cs="Open Sans"/>
          <w:b/>
        </w:rPr>
        <w:t>     III -</w:t>
      </w:r>
      <w:r w:rsidRPr="00A91E97">
        <w:rPr>
          <w:rFonts w:ascii="Open Sans" w:hAnsi="Open Sans" w:cs="Open Sans"/>
        </w:rPr>
        <w:t xml:space="preserve"> declaração de nulidade do ato de nomeação, se a falsidade for constatad</w:t>
      </w:r>
      <w:r w:rsidRPr="00A91E97">
        <w:rPr>
          <w:rFonts w:ascii="Open Sans" w:hAnsi="Open Sans" w:cs="Open Sans"/>
        </w:rPr>
        <w:t>a após a sua publicação.</w:t>
      </w:r>
    </w:p>
    <w:p w:rsidR="00F127E3" w:rsidRPr="00A91E97" w:rsidRDefault="008F6134" w:rsidP="00F127E3">
      <w:pPr>
        <w:pStyle w:val="NormalWeb"/>
        <w:shd w:val="clear" w:color="auto" w:fill="FFFFFF"/>
        <w:jc w:val="both"/>
        <w:rPr>
          <w:rFonts w:ascii="Open Sans" w:hAnsi="Open Sans" w:cs="Open Sans"/>
        </w:rPr>
      </w:pPr>
      <w:r w:rsidRPr="00A91E97">
        <w:rPr>
          <w:rFonts w:ascii="Open Sans" w:hAnsi="Open Sans" w:cs="Open Sans"/>
          <w:b/>
        </w:rPr>
        <w:lastRenderedPageBreak/>
        <w:t>     Art. 3º</w:t>
      </w:r>
      <w:r w:rsidRPr="00A91E97">
        <w:rPr>
          <w:rFonts w:ascii="Open Sans" w:hAnsi="Open Sans" w:cs="Open Sans"/>
        </w:rPr>
        <w:t xml:space="preserve"> </w:t>
      </w:r>
      <w:r w:rsidR="008F648F" w:rsidRPr="00A91E97">
        <w:rPr>
          <w:rFonts w:ascii="Open Sans" w:hAnsi="Open Sans" w:cs="Open Sans"/>
        </w:rPr>
        <w:t>Para os efeitos desta Lei, o</w:t>
      </w:r>
      <w:r w:rsidRPr="00A91E97">
        <w:rPr>
          <w:rFonts w:ascii="Open Sans" w:hAnsi="Open Sans" w:cs="Open Sans"/>
        </w:rPr>
        <w:t xml:space="preserve"> edital do concurso deverá informar sobre a isenção e sobre as sanções aplicáveis aos candidatos que venham a prestar informação falsa, referidas no art. 2º.</w:t>
      </w:r>
    </w:p>
    <w:p w:rsidR="00F127E3" w:rsidRPr="00A91E97" w:rsidRDefault="008F6134" w:rsidP="00F127E3">
      <w:pPr>
        <w:pStyle w:val="NormalWeb"/>
        <w:shd w:val="clear" w:color="auto" w:fill="FFFFFF"/>
        <w:jc w:val="both"/>
        <w:rPr>
          <w:rFonts w:ascii="Open Sans" w:hAnsi="Open Sans" w:cs="Open Sans"/>
        </w:rPr>
      </w:pPr>
      <w:r w:rsidRPr="00A91E97">
        <w:rPr>
          <w:rFonts w:ascii="Open Sans" w:hAnsi="Open Sans" w:cs="Open Sans"/>
          <w:b/>
        </w:rPr>
        <w:t>     Art. 4º</w:t>
      </w:r>
      <w:r w:rsidRPr="00A91E97">
        <w:rPr>
          <w:rFonts w:ascii="Open Sans" w:hAnsi="Open Sans" w:cs="Open Sans"/>
        </w:rPr>
        <w:t xml:space="preserve"> A isenção de que tr</w:t>
      </w:r>
      <w:r w:rsidRPr="00A91E97">
        <w:rPr>
          <w:rFonts w:ascii="Open Sans" w:hAnsi="Open Sans" w:cs="Open Sans"/>
        </w:rPr>
        <w:t>ata esta Lei não se aplica aos concursos públicos cujos editais tenham sido publicados anteriormente à sua v</w:t>
      </w:r>
      <w:bookmarkStart w:id="0" w:name="_GoBack"/>
      <w:bookmarkEnd w:id="0"/>
      <w:r w:rsidRPr="00A91E97">
        <w:rPr>
          <w:rFonts w:ascii="Open Sans" w:hAnsi="Open Sans" w:cs="Open Sans"/>
        </w:rPr>
        <w:t>igência.</w:t>
      </w:r>
    </w:p>
    <w:p w:rsidR="00F127E3" w:rsidRPr="00A91E97" w:rsidRDefault="008F6134" w:rsidP="00F127E3">
      <w:pPr>
        <w:pStyle w:val="NormalWeb"/>
        <w:shd w:val="clear" w:color="auto" w:fill="FFFFFF"/>
        <w:tabs>
          <w:tab w:val="left" w:pos="7150"/>
        </w:tabs>
        <w:jc w:val="both"/>
        <w:rPr>
          <w:rFonts w:ascii="Open Sans" w:hAnsi="Open Sans" w:cs="Open Sans"/>
        </w:rPr>
      </w:pPr>
      <w:r w:rsidRPr="00A91E97">
        <w:rPr>
          <w:rFonts w:ascii="Open Sans" w:hAnsi="Open Sans" w:cs="Open Sans"/>
        </w:rPr>
        <w:t xml:space="preserve">     </w:t>
      </w:r>
      <w:r w:rsidRPr="00A91E97">
        <w:rPr>
          <w:rFonts w:ascii="Open Sans" w:hAnsi="Open Sans" w:cs="Open Sans"/>
          <w:b/>
        </w:rPr>
        <w:t xml:space="preserve">Art. 5º </w:t>
      </w:r>
      <w:r w:rsidRPr="00A91E97">
        <w:rPr>
          <w:rFonts w:ascii="Open Sans" w:hAnsi="Open Sans" w:cs="Open Sans"/>
        </w:rPr>
        <w:t>Esta Lei entra em vigor na data de sua publicação.</w:t>
      </w:r>
    </w:p>
    <w:p w:rsidR="00F127E3" w:rsidRPr="00A91E97" w:rsidRDefault="008F6134" w:rsidP="00A91E97">
      <w:pPr>
        <w:pStyle w:val="NormalWeb"/>
        <w:shd w:val="clear" w:color="auto" w:fill="FFFFFF"/>
        <w:tabs>
          <w:tab w:val="left" w:pos="7150"/>
        </w:tabs>
        <w:jc w:val="right"/>
        <w:rPr>
          <w:rFonts w:ascii="Open Sans" w:hAnsi="Open Sans" w:cs="Open Sans"/>
        </w:rPr>
      </w:pPr>
      <w:r w:rsidRPr="00A91E97">
        <w:rPr>
          <w:rFonts w:ascii="Open Sans" w:hAnsi="Open Sans" w:cs="Open Sans"/>
        </w:rPr>
        <w:t>Sala das sessões, 27 de julho de 2022.</w:t>
      </w:r>
    </w:p>
    <w:p w:rsidR="00F127E3" w:rsidRPr="00A91E97" w:rsidRDefault="00F127E3" w:rsidP="00F127E3">
      <w:pPr>
        <w:pStyle w:val="NormalWeb"/>
        <w:shd w:val="clear" w:color="auto" w:fill="FFFFFF"/>
        <w:tabs>
          <w:tab w:val="left" w:pos="7150"/>
        </w:tabs>
        <w:rPr>
          <w:rFonts w:ascii="Open Sans" w:hAnsi="Open Sans" w:cs="Open Sans"/>
        </w:rPr>
      </w:pPr>
    </w:p>
    <w:p w:rsidR="00F127E3" w:rsidRPr="00A91E97" w:rsidRDefault="00F127E3" w:rsidP="00F127E3">
      <w:pPr>
        <w:pStyle w:val="NormalWeb"/>
        <w:shd w:val="clear" w:color="auto" w:fill="FFFFFF"/>
        <w:tabs>
          <w:tab w:val="left" w:pos="7150"/>
        </w:tabs>
        <w:rPr>
          <w:rFonts w:ascii="Open Sans" w:hAnsi="Open Sans" w:cs="Open Sans"/>
        </w:rPr>
      </w:pPr>
    </w:p>
    <w:p w:rsidR="00F127E3" w:rsidRPr="00A91E97" w:rsidRDefault="008F6134" w:rsidP="00F127E3">
      <w:pPr>
        <w:pStyle w:val="NormalWeb"/>
        <w:shd w:val="clear" w:color="auto" w:fill="FFFFFF"/>
        <w:tabs>
          <w:tab w:val="left" w:pos="7150"/>
        </w:tabs>
        <w:spacing w:before="0" w:beforeAutospacing="0" w:after="0" w:afterAutospacing="0"/>
        <w:jc w:val="center"/>
        <w:rPr>
          <w:rFonts w:ascii="Open Sans" w:hAnsi="Open Sans" w:cs="Open Sans"/>
          <w:b/>
        </w:rPr>
      </w:pPr>
      <w:r w:rsidRPr="00A91E97">
        <w:rPr>
          <w:rFonts w:ascii="Open Sans" w:hAnsi="Open Sans" w:cs="Open Sans"/>
          <w:b/>
        </w:rPr>
        <w:t>JAIR JOSÉ DOS SANTOS</w:t>
      </w:r>
    </w:p>
    <w:p w:rsidR="00F127E3" w:rsidRPr="00A91E97" w:rsidRDefault="008F6134" w:rsidP="00F127E3">
      <w:pPr>
        <w:pStyle w:val="NormalWeb"/>
        <w:shd w:val="clear" w:color="auto" w:fill="FFFFFF"/>
        <w:tabs>
          <w:tab w:val="left" w:pos="7150"/>
        </w:tabs>
        <w:spacing w:before="0" w:beforeAutospacing="0" w:after="0" w:afterAutospacing="0"/>
        <w:jc w:val="center"/>
        <w:rPr>
          <w:rFonts w:ascii="Open Sans" w:hAnsi="Open Sans" w:cs="Open Sans"/>
          <w:b/>
        </w:rPr>
      </w:pPr>
      <w:r w:rsidRPr="00A91E97">
        <w:rPr>
          <w:rFonts w:ascii="Open Sans" w:hAnsi="Open Sans" w:cs="Open Sans"/>
          <w:b/>
        </w:rPr>
        <w:t>VEREADOR</w:t>
      </w:r>
    </w:p>
    <w:p w:rsidR="007B2825" w:rsidRPr="00A91E97" w:rsidRDefault="007B2825"/>
    <w:sectPr w:rsidR="007B2825" w:rsidRPr="00A91E97" w:rsidSect="00537440">
      <w:headerReference w:type="default" r:id="rId6"/>
      <w:pgSz w:w="11906" w:h="16838"/>
      <w:pgMar w:top="1843" w:right="141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134" w:rsidRDefault="008F6134">
      <w:pPr>
        <w:spacing w:after="0" w:line="240" w:lineRule="auto"/>
      </w:pPr>
      <w:r>
        <w:separator/>
      </w:r>
    </w:p>
  </w:endnote>
  <w:endnote w:type="continuationSeparator" w:id="0">
    <w:p w:rsidR="008F6134" w:rsidRDefault="008F6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134" w:rsidRDefault="008F6134">
      <w:pPr>
        <w:spacing w:after="0" w:line="240" w:lineRule="auto"/>
      </w:pPr>
      <w:r>
        <w:separator/>
      </w:r>
    </w:p>
  </w:footnote>
  <w:footnote w:type="continuationSeparator" w:id="0">
    <w:p w:rsidR="008F6134" w:rsidRDefault="008F61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0C6" w:rsidRDefault="008F6134">
    <w:r>
      <w:rPr>
        <w:noProof/>
        <w:lang w:eastAsia="pt-BR"/>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357187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35718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7E3"/>
    <w:rsid w:val="000200C6"/>
    <w:rsid w:val="001B54D8"/>
    <w:rsid w:val="002E3558"/>
    <w:rsid w:val="005249B9"/>
    <w:rsid w:val="00537440"/>
    <w:rsid w:val="005A52A0"/>
    <w:rsid w:val="005E3C51"/>
    <w:rsid w:val="007B2825"/>
    <w:rsid w:val="008F6134"/>
    <w:rsid w:val="008F648F"/>
    <w:rsid w:val="009C7480"/>
    <w:rsid w:val="00A64F8C"/>
    <w:rsid w:val="00A91E97"/>
    <w:rsid w:val="00B948F0"/>
    <w:rsid w:val="00D651D8"/>
    <w:rsid w:val="00D96451"/>
    <w:rsid w:val="00ED5DC9"/>
    <w:rsid w:val="00F127E3"/>
    <w:rsid w:val="00F159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1A712F-3314-49F5-8778-244BA3D1B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127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F127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318</Words>
  <Characters>1719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dc:creator>
  <cp:lastModifiedBy>Lucas</cp:lastModifiedBy>
  <cp:revision>10</cp:revision>
  <cp:lastPrinted>2022-07-27T13:31:00Z</cp:lastPrinted>
  <dcterms:created xsi:type="dcterms:W3CDTF">2022-07-27T13:15:00Z</dcterms:created>
  <dcterms:modified xsi:type="dcterms:W3CDTF">2022-07-28T18:13:00Z</dcterms:modified>
</cp:coreProperties>
</file>