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66EC" w:rsidP="00DE3485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</w:p>
    <w:p w:rsidR="001066EC" w:rsidP="00DE3485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</w:p>
    <w:p w:rsidR="001066EC" w:rsidP="00DE3485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</w:p>
    <w:p w:rsidR="001066EC" w:rsidP="00DE3485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</w:p>
    <w:p w:rsidR="008C17A1" w:rsidRPr="00DE3485" w:rsidP="00DE3485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  <w:r w:rsidRPr="00DE3485">
        <w:rPr>
          <w:rFonts w:ascii="Arial" w:eastAsia="Batang" w:hAnsi="Arial" w:cs="Arial"/>
          <w:b/>
          <w:bCs/>
          <w:sz w:val="40"/>
          <w:szCs w:val="24"/>
          <w:u w:val="single"/>
        </w:rPr>
        <w:t>MOÇÃO DE APELO</w:t>
      </w:r>
    </w:p>
    <w:p w:rsidR="008C17A1" w:rsidRPr="00DE3485" w:rsidP="00DE3485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8C17A1" w:rsidRPr="00DE3485" w:rsidP="00DE3485">
      <w:pPr>
        <w:spacing w:line="360" w:lineRule="auto"/>
        <w:jc w:val="both"/>
        <w:rPr>
          <w:rFonts w:ascii="Arial" w:hAnsi="Arial" w:cs="Arial"/>
        </w:rPr>
      </w:pPr>
      <w:r w:rsidRPr="00DE3485">
        <w:rPr>
          <w:rFonts w:ascii="Arial" w:eastAsia="Batang" w:hAnsi="Arial" w:cs="Arial"/>
        </w:rPr>
        <w:t xml:space="preserve">  </w:t>
      </w:r>
      <w:r w:rsidRPr="00DE3485">
        <w:rPr>
          <w:rFonts w:ascii="Arial" w:eastAsia="Batang" w:hAnsi="Arial" w:cs="Arial"/>
        </w:rPr>
        <w:tab/>
        <w:t xml:space="preserve">Apresento a mesa, ouvido o Douto Plenário, </w:t>
      </w:r>
      <w:r w:rsidRPr="00DE3485">
        <w:rPr>
          <w:rFonts w:ascii="Arial" w:eastAsia="Batang" w:hAnsi="Arial" w:cs="Arial"/>
          <w:b/>
          <w:u w:val="words"/>
        </w:rPr>
        <w:t xml:space="preserve">MOÇÃO DE APELO </w:t>
      </w:r>
      <w:r w:rsidRPr="00DE3485">
        <w:rPr>
          <w:rFonts w:ascii="Arial" w:eastAsia="Batang" w:hAnsi="Arial" w:cs="Arial"/>
        </w:rPr>
        <w:t>ao</w:t>
      </w:r>
      <w:r w:rsidRPr="00DE3485" w:rsidR="00C30E5A">
        <w:rPr>
          <w:rFonts w:ascii="Arial" w:eastAsia="Batang" w:hAnsi="Arial" w:cs="Arial"/>
          <w:b/>
          <w:u w:val="words"/>
        </w:rPr>
        <w:t xml:space="preserve"> Exmo. Sr. Prefeito Municipal que interceda junto ao </w:t>
      </w:r>
      <w:r w:rsidRPr="00DE3485">
        <w:rPr>
          <w:rFonts w:ascii="Arial" w:eastAsia="Batang" w:hAnsi="Arial" w:cs="Arial"/>
          <w:b/>
          <w:u w:val="words"/>
        </w:rPr>
        <w:t xml:space="preserve">GOVERNADOR </w:t>
      </w:r>
      <w:r w:rsidRPr="00DE3485" w:rsidR="00C30E5A">
        <w:rPr>
          <w:rFonts w:ascii="Arial" w:eastAsia="Batang" w:hAnsi="Arial" w:cs="Arial"/>
          <w:b/>
          <w:u w:val="words"/>
        </w:rPr>
        <w:t>RODRIGO GARCIA</w:t>
      </w:r>
      <w:r w:rsidRPr="00DE3485">
        <w:rPr>
          <w:rFonts w:ascii="Arial" w:eastAsia="Batang" w:hAnsi="Arial" w:cs="Arial"/>
          <w:b/>
          <w:u w:val="words"/>
        </w:rPr>
        <w:t xml:space="preserve"> </w:t>
      </w:r>
      <w:r w:rsidRPr="00DE3485">
        <w:rPr>
          <w:rFonts w:ascii="Arial" w:eastAsia="Batang" w:hAnsi="Arial" w:cs="Arial"/>
        </w:rPr>
        <w:t>e ao</w:t>
      </w:r>
      <w:r w:rsidRPr="00DE3485">
        <w:rPr>
          <w:rFonts w:ascii="Arial" w:eastAsia="Batang" w:hAnsi="Arial" w:cs="Arial"/>
          <w:b/>
          <w:u w:val="words"/>
        </w:rPr>
        <w:t xml:space="preserve"> SECRETÁRIO DE SEGURANÇA PÚBLICA GENERAL JOÃO CAMILO PIRES DE CAMPOS,</w:t>
      </w:r>
      <w:r w:rsidRPr="00DE3485">
        <w:rPr>
          <w:rFonts w:ascii="Arial" w:eastAsia="Batang" w:hAnsi="Arial" w:cs="Arial"/>
        </w:rPr>
        <w:t xml:space="preserve"> para que seja criada a </w:t>
      </w:r>
      <w:r w:rsidRPr="00DE3485">
        <w:rPr>
          <w:rFonts w:ascii="Arial" w:eastAsia="Batang" w:hAnsi="Arial" w:cs="Arial"/>
          <w:b/>
        </w:rPr>
        <w:t>DELEGACIA DE DEFESA DA MULHER</w:t>
      </w:r>
      <w:r w:rsidRPr="00DE3485">
        <w:rPr>
          <w:rFonts w:ascii="Arial" w:eastAsia="Batang" w:hAnsi="Arial" w:cs="Arial"/>
        </w:rPr>
        <w:t xml:space="preserve"> no Município de Barra Bonita</w:t>
      </w:r>
      <w:r w:rsidR="00185572">
        <w:rPr>
          <w:rFonts w:ascii="Arial" w:hAnsi="Arial" w:cs="Arial"/>
        </w:rPr>
        <w:t>, ou a formalização de convênio de atividade delegada no mesmo sentido.</w:t>
      </w:r>
    </w:p>
    <w:p w:rsidR="008C17A1" w:rsidRPr="00DE3485" w:rsidP="00DE3485">
      <w:pPr>
        <w:jc w:val="center"/>
        <w:rPr>
          <w:rFonts w:ascii="Arial" w:hAnsi="Arial" w:cs="Arial"/>
          <w:b/>
          <w:sz w:val="28"/>
        </w:rPr>
      </w:pPr>
      <w:r w:rsidRPr="00DE3485">
        <w:rPr>
          <w:rFonts w:ascii="Arial" w:hAnsi="Arial" w:cs="Arial"/>
          <w:b/>
          <w:sz w:val="28"/>
        </w:rPr>
        <w:t>JUSTIFICATIVA</w:t>
      </w:r>
    </w:p>
    <w:p w:rsidR="008C17A1" w:rsidRPr="00DE3485" w:rsidP="001066EC">
      <w:pPr>
        <w:spacing w:line="276" w:lineRule="auto"/>
        <w:jc w:val="both"/>
        <w:rPr>
          <w:rFonts w:ascii="Arial" w:hAnsi="Arial" w:cs="Arial"/>
        </w:rPr>
      </w:pPr>
      <w:r w:rsidRPr="00DE3485">
        <w:rPr>
          <w:rFonts w:ascii="Arial" w:hAnsi="Arial" w:cs="Arial"/>
        </w:rPr>
        <w:tab/>
      </w:r>
      <w:r w:rsidRPr="00DE3485">
        <w:rPr>
          <w:rFonts w:ascii="Arial" w:hAnsi="Arial" w:cs="Arial"/>
        </w:rPr>
        <w:tab/>
      </w:r>
      <w:r w:rsidRPr="00DE3485">
        <w:rPr>
          <w:rFonts w:ascii="Arial" w:hAnsi="Arial" w:cs="Arial"/>
        </w:rPr>
        <w:br/>
        <w:t xml:space="preserve"> </w:t>
      </w:r>
      <w:r w:rsidRPr="00DE3485">
        <w:rPr>
          <w:rFonts w:ascii="Arial" w:hAnsi="Arial" w:cs="Arial"/>
        </w:rPr>
        <w:tab/>
        <w:t xml:space="preserve">Nosso Município carece da existência da Delegacia, principalmente porque os municípios adjacentes, como por exemplo, Igaraçu do Tietê, Mineiros do Tietê e Macatuba, que superam juntos mais de 100 (cem) mil habitantes, também não possuem a Delegacia. </w:t>
      </w:r>
    </w:p>
    <w:p w:rsidR="008C17A1" w:rsidRPr="00DE3485" w:rsidP="00DE3485">
      <w:pPr>
        <w:jc w:val="both"/>
        <w:rPr>
          <w:rFonts w:ascii="Arial" w:hAnsi="Arial" w:cs="Arial"/>
        </w:rPr>
      </w:pPr>
    </w:p>
    <w:p w:rsidR="008C17A1" w:rsidRPr="00DE3485" w:rsidP="001066EC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DE3485">
        <w:rPr>
          <w:rFonts w:ascii="Arial" w:hAnsi="Arial" w:cs="Arial"/>
        </w:rPr>
        <w:t xml:space="preserve">  </w:t>
      </w:r>
      <w:r w:rsidRPr="00DE3485">
        <w:rPr>
          <w:rFonts w:ascii="Arial" w:hAnsi="Arial" w:cs="Arial"/>
        </w:rPr>
        <w:tab/>
      </w:r>
      <w:r w:rsidRPr="00DE3485">
        <w:rPr>
          <w:rFonts w:ascii="Arial" w:hAnsi="Arial" w:cs="Arial"/>
          <w:shd w:val="clear" w:color="auto" w:fill="FFFFFF"/>
        </w:rPr>
        <w:t>Importante instrumento de combate à violência contra a mulher, pois as delegacias comuns são quase em sua totalidade administradas por homens que, não raro, apresentam grande dificuldade de reconhecer como crime a violência doméstica, preferindo entender agressões ocorridas no lar como “meros desentendimentos familiares”.</w:t>
      </w:r>
    </w:p>
    <w:p w:rsidR="008C17A1" w:rsidRPr="00DE3485" w:rsidP="00DE3485">
      <w:pPr>
        <w:jc w:val="both"/>
        <w:rPr>
          <w:rFonts w:ascii="Arial" w:hAnsi="Arial" w:cs="Arial"/>
          <w:shd w:val="clear" w:color="auto" w:fill="FFFFFF"/>
        </w:rPr>
      </w:pPr>
    </w:p>
    <w:p w:rsidR="008C17A1" w:rsidRPr="00DE3485" w:rsidP="001066EC">
      <w:pPr>
        <w:spacing w:line="276" w:lineRule="auto"/>
        <w:jc w:val="both"/>
        <w:rPr>
          <w:rFonts w:ascii="Arial" w:hAnsi="Arial" w:cs="Arial"/>
        </w:rPr>
      </w:pPr>
      <w:r w:rsidRPr="00DE3485">
        <w:rPr>
          <w:rFonts w:ascii="Arial" w:hAnsi="Arial" w:cs="Arial"/>
          <w:shd w:val="clear" w:color="auto" w:fill="FFFFFF"/>
        </w:rPr>
        <w:t xml:space="preserve"> </w:t>
      </w:r>
      <w:r w:rsidRPr="00DE3485">
        <w:rPr>
          <w:rFonts w:ascii="Arial" w:hAnsi="Arial" w:cs="Arial"/>
          <w:shd w:val="clear" w:color="auto" w:fill="FFFFFF"/>
        </w:rPr>
        <w:tab/>
      </w:r>
      <w:r w:rsidRPr="00DE3485">
        <w:rPr>
          <w:rFonts w:ascii="Arial" w:hAnsi="Arial" w:cs="Arial"/>
        </w:rPr>
        <w:t>É necessário que o Estado facilite o acesso aos serviços públicos especializados para as mulheres, pois é de conhecimento que a mulher necessita de atendimento diferenciado desde a adolescência até a melhor idade, principalmente em razão de eventuais constrangimentos ocorridos em certas ocasiões.</w:t>
      </w:r>
    </w:p>
    <w:p w:rsidR="008C17A1" w:rsidRPr="00DE3485" w:rsidP="00DE3485">
      <w:pPr>
        <w:jc w:val="both"/>
        <w:rPr>
          <w:rFonts w:ascii="Arial" w:hAnsi="Arial" w:cs="Arial"/>
        </w:rPr>
      </w:pPr>
    </w:p>
    <w:p w:rsidR="008C17A1" w:rsidRPr="00DE3485" w:rsidP="001066EC">
      <w:pPr>
        <w:spacing w:line="276" w:lineRule="auto"/>
        <w:jc w:val="both"/>
        <w:rPr>
          <w:rFonts w:ascii="Arial" w:hAnsi="Arial" w:cs="Arial"/>
        </w:rPr>
      </w:pPr>
      <w:r w:rsidRPr="00DE3485">
        <w:rPr>
          <w:rFonts w:ascii="Arial" w:hAnsi="Arial" w:cs="Arial"/>
        </w:rPr>
        <w:t xml:space="preserve"> </w:t>
      </w:r>
      <w:r w:rsidRPr="00DE3485">
        <w:rPr>
          <w:rFonts w:ascii="Arial" w:hAnsi="Arial" w:cs="Arial"/>
        </w:rPr>
        <w:tab/>
        <w:t xml:space="preserve"> Há que se destacar também os altos índices de violência sofrido pelas mulheres, os quais muitas vezes estão à margem de quaisquer estatísticas, por não terem um respaldo ou um local adequado para enfrentamento dessas questões.</w:t>
      </w:r>
    </w:p>
    <w:p w:rsidR="007831BB" w:rsidRPr="00DE3485" w:rsidP="00DE3485">
      <w:pPr>
        <w:jc w:val="both"/>
        <w:rPr>
          <w:rFonts w:ascii="Arial" w:hAnsi="Arial" w:cs="Arial"/>
        </w:rPr>
      </w:pPr>
    </w:p>
    <w:p w:rsidR="007831BB" w:rsidRPr="00DE3485" w:rsidP="001066EC">
      <w:pPr>
        <w:spacing w:line="276" w:lineRule="auto"/>
        <w:jc w:val="both"/>
        <w:rPr>
          <w:rFonts w:ascii="Arial" w:hAnsi="Arial" w:cs="Arial"/>
        </w:rPr>
      </w:pPr>
      <w:r w:rsidRPr="00DE3485">
        <w:rPr>
          <w:rFonts w:ascii="Arial" w:hAnsi="Arial" w:cs="Arial"/>
        </w:rPr>
        <w:tab/>
        <w:t xml:space="preserve">Nesse sentindo, é necessário a formalização do convênio de atividade delegada com a Polícia Civil junto ao Governo do Estado de São Paulo e realize o direcionamento de um profissional com experiência no trabalho </w:t>
      </w:r>
      <w:r w:rsidRPr="00DE3485" w:rsidR="00961833">
        <w:rPr>
          <w:rFonts w:ascii="Arial" w:hAnsi="Arial" w:cs="Arial"/>
        </w:rPr>
        <w:t xml:space="preserve">da Delegacia da Mulher, </w:t>
      </w:r>
      <w:r w:rsidRPr="00DE3485" w:rsidR="00CC6548">
        <w:rPr>
          <w:rFonts w:ascii="Arial" w:hAnsi="Arial" w:cs="Arial"/>
        </w:rPr>
        <w:t xml:space="preserve">a fim de garantir um atendimento prioritário, humanizado, referência para vítimas de agressões ou diversos outros crimes que exigem um ambiente preparado </w:t>
      </w:r>
      <w:r w:rsidRPr="00DE3485" w:rsidR="00CC6548">
        <w:rPr>
          <w:rFonts w:ascii="Arial" w:hAnsi="Arial" w:cs="Arial"/>
        </w:rPr>
        <w:t>para isso, acolhedor, com profissionais técnicos que minimizem os danos de um registro de ocorrência com exposição e a continuidade dos mesmos.</w:t>
      </w:r>
    </w:p>
    <w:p w:rsidR="008C17A1" w:rsidRPr="00DE3485" w:rsidP="00DE3485">
      <w:pPr>
        <w:jc w:val="both"/>
        <w:rPr>
          <w:rFonts w:ascii="Arial" w:hAnsi="Arial" w:cs="Arial"/>
        </w:rPr>
      </w:pPr>
    </w:p>
    <w:p w:rsidR="00DE3485" w:rsidRPr="00DE3485" w:rsidP="001066EC">
      <w:pPr>
        <w:spacing w:line="276" w:lineRule="auto"/>
        <w:jc w:val="both"/>
        <w:rPr>
          <w:rFonts w:ascii="Arial" w:hAnsi="Arial" w:cs="Arial"/>
        </w:rPr>
      </w:pPr>
      <w:r w:rsidRPr="00DE3485">
        <w:rPr>
          <w:rFonts w:ascii="Arial" w:hAnsi="Arial" w:cs="Arial"/>
        </w:rPr>
        <w:t xml:space="preserve"> </w:t>
      </w:r>
      <w:r w:rsidRPr="00DE3485">
        <w:rPr>
          <w:rFonts w:ascii="Arial" w:hAnsi="Arial" w:cs="Arial"/>
        </w:rPr>
        <w:tab/>
        <w:t xml:space="preserve"> Dessa maneira, peço o atendimento da presente Moção em razão dos relevantes benefícios que poderão ser oferecidos </w:t>
      </w:r>
      <w:r w:rsidRPr="00DE3485">
        <w:rPr>
          <w:rFonts w:ascii="Arial" w:hAnsi="Arial" w:cs="Arial"/>
        </w:rPr>
        <w:t>às mulheres de Barra Bonita.</w:t>
      </w:r>
    </w:p>
    <w:p w:rsidR="00DE3485" w:rsidRPr="00DE3485" w:rsidP="00DE3485">
      <w:pPr>
        <w:jc w:val="both"/>
        <w:rPr>
          <w:rFonts w:ascii="Arial" w:hAnsi="Arial" w:cs="Arial"/>
        </w:rPr>
      </w:pPr>
    </w:p>
    <w:p w:rsidR="008C17A1" w:rsidRPr="00DE3485" w:rsidP="00DE3485">
      <w:pPr>
        <w:jc w:val="both"/>
        <w:rPr>
          <w:rFonts w:ascii="Arial" w:hAnsi="Arial" w:cs="Arial"/>
        </w:rPr>
      </w:pPr>
      <w:r w:rsidRPr="00DE3485">
        <w:rPr>
          <w:rFonts w:ascii="Arial" w:hAnsi="Arial" w:cs="Arial"/>
        </w:rPr>
        <w:tab/>
        <w:t xml:space="preserve">Sala das Sessões, em </w:t>
      </w:r>
      <w:r w:rsidR="00AC6081">
        <w:rPr>
          <w:rFonts w:ascii="Arial" w:hAnsi="Arial" w:cs="Arial"/>
        </w:rPr>
        <w:t>18 de julho de 2022</w:t>
      </w:r>
      <w:bookmarkStart w:id="0" w:name="_GoBack"/>
      <w:bookmarkEnd w:id="0"/>
      <w:r w:rsidRPr="00DE3485">
        <w:rPr>
          <w:rFonts w:ascii="Arial" w:hAnsi="Arial" w:cs="Arial"/>
        </w:rPr>
        <w:t>.</w:t>
      </w:r>
    </w:p>
    <w:p w:rsidR="00DE3485" w:rsidRPr="00DE3485" w:rsidP="00DE3485">
      <w:pPr>
        <w:jc w:val="both"/>
        <w:rPr>
          <w:rFonts w:ascii="Arial" w:hAnsi="Arial" w:cs="Arial"/>
        </w:rPr>
      </w:pPr>
    </w:p>
    <w:p w:rsidR="00DE3485" w:rsidRPr="00DE3485" w:rsidP="00DE3485">
      <w:pPr>
        <w:jc w:val="both"/>
        <w:rPr>
          <w:rFonts w:ascii="Arial" w:hAnsi="Arial" w:cs="Arial"/>
        </w:rPr>
      </w:pPr>
    </w:p>
    <w:p w:rsidR="00DE3485" w:rsidRPr="00DE3485" w:rsidP="00DE3485">
      <w:pPr>
        <w:jc w:val="center"/>
        <w:rPr>
          <w:rFonts w:ascii="Arial" w:hAnsi="Arial" w:cs="Arial"/>
          <w:b/>
        </w:rPr>
      </w:pPr>
      <w:r w:rsidRPr="00DE3485">
        <w:rPr>
          <w:rFonts w:ascii="Arial" w:hAnsi="Arial" w:cs="Arial"/>
          <w:b/>
        </w:rPr>
        <w:t>ANTONIO CARLOS BRESSANIN</w:t>
      </w:r>
    </w:p>
    <w:p w:rsidR="00DE3485" w:rsidRPr="00DE3485" w:rsidP="00DE3485">
      <w:pPr>
        <w:jc w:val="center"/>
        <w:rPr>
          <w:rFonts w:ascii="Arial" w:hAnsi="Arial" w:cs="Arial"/>
        </w:rPr>
      </w:pPr>
      <w:r w:rsidRPr="00DE3485">
        <w:rPr>
          <w:rFonts w:ascii="Arial" w:hAnsi="Arial" w:cs="Arial"/>
        </w:rPr>
        <w:t>Vereador</w:t>
      </w:r>
    </w:p>
    <w:p w:rsidR="00974E10" w:rsidRPr="00DE3485" w:rsidP="00DE3485"/>
    <w:sectPr w:rsidSect="00DE3485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A1"/>
    <w:rsid w:val="001066EC"/>
    <w:rsid w:val="00185572"/>
    <w:rsid w:val="007831BB"/>
    <w:rsid w:val="008C17A1"/>
    <w:rsid w:val="00961833"/>
    <w:rsid w:val="00974E10"/>
    <w:rsid w:val="00AC6081"/>
    <w:rsid w:val="00C30E5A"/>
    <w:rsid w:val="00C42B56"/>
    <w:rsid w:val="00CC6548"/>
    <w:rsid w:val="00DE34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191272-C86E-447D-915F-1B402A5B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8C17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8C17A1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dcterms:created xsi:type="dcterms:W3CDTF">2022-05-23T13:49:00Z</dcterms:created>
  <dcterms:modified xsi:type="dcterms:W3CDTF">2022-07-18T14:15:00Z</dcterms:modified>
</cp:coreProperties>
</file>