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A329B3">
        <w:rPr>
          <w:rFonts w:ascii="Arial" w:hAnsi="Arial" w:cs="Arial"/>
          <w:b/>
          <w:sz w:val="36"/>
          <w:szCs w:val="36"/>
        </w:rPr>
        <w:t>1</w:t>
      </w:r>
      <w:r w:rsidR="006F5CE0">
        <w:rPr>
          <w:rFonts w:ascii="Arial" w:hAnsi="Arial" w:cs="Arial"/>
          <w:b/>
          <w:sz w:val="36"/>
          <w:szCs w:val="36"/>
        </w:rPr>
        <w:t>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6F5CE0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6F5CE0">
        <w:rPr>
          <w:rFonts w:ascii="Arial" w:hAnsi="Arial" w:cs="Arial"/>
          <w:b/>
          <w:bCs/>
          <w:iCs/>
          <w:szCs w:val="26"/>
        </w:rPr>
        <w:t>Dispõe sobre a criação do Conselho Municipal dos Direitos da Pessoa com Deficiência da Estância Turística de Barra Bonita</w:t>
      </w:r>
      <w:bookmarkStart w:id="0" w:name="_GoBack"/>
      <w:bookmarkEnd w:id="0"/>
      <w:r w:rsidRPr="006F5CE0">
        <w:rPr>
          <w:rFonts w:ascii="Arial" w:hAnsi="Arial" w:cs="Arial"/>
          <w:b/>
          <w:bCs/>
          <w:iCs/>
          <w:szCs w:val="26"/>
        </w:rPr>
        <w:t xml:space="preserve"> e dá providências correlatas.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A329B3">
        <w:rPr>
          <w:rFonts w:ascii="Arial" w:hAnsi="Arial" w:cs="Arial"/>
          <w:szCs w:val="26"/>
        </w:rPr>
        <w:t>0</w:t>
      </w:r>
      <w:r w:rsidR="00555B73">
        <w:rPr>
          <w:rFonts w:ascii="Arial" w:hAnsi="Arial" w:cs="Arial"/>
          <w:szCs w:val="26"/>
        </w:rPr>
        <w:t>9</w:t>
      </w:r>
      <w:r w:rsidR="00A329B3">
        <w:rPr>
          <w:rFonts w:ascii="Arial" w:hAnsi="Arial" w:cs="Arial"/>
          <w:szCs w:val="26"/>
        </w:rPr>
        <w:t xml:space="preserve"> de </w:t>
      </w:r>
      <w:r w:rsidR="00555B73">
        <w:rPr>
          <w:rFonts w:ascii="Arial" w:hAnsi="Arial" w:cs="Arial"/>
          <w:szCs w:val="26"/>
        </w:rPr>
        <w:t xml:space="preserve">Maio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620300" w:rsidRDefault="0062030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9144B" w:rsidRDefault="0079144B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Art. 1º</w:t>
      </w:r>
      <w:r w:rsidRPr="00555B73">
        <w:rPr>
          <w:rFonts w:ascii="Arial" w:eastAsia="Calibri" w:hAnsi="Arial" w:cs="Arial"/>
          <w:lang w:eastAsia="en-US"/>
        </w:rPr>
        <w:t xml:space="preserve"> Fica criado o Conselho Municipal dos Direitos da Pessoa com Deficiência, órgão colegiado paritário de natureza permanente, vinculado à Secretaria Municipal dos Direitos da Pessoa com Deficiência e Mobilidade Reduzida, com funções consultiva, normativa, de aconselhamento e assessoramento ao Governo Municipal e de formulação e controle das políticas municipais voltadas à inclusão e defesa de direitos das Pessoas com Deficiência.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Art. 2º</w:t>
      </w:r>
      <w:r w:rsidRPr="00555B73">
        <w:rPr>
          <w:rFonts w:ascii="Arial" w:eastAsia="Calibri" w:hAnsi="Arial" w:cs="Arial"/>
          <w:lang w:eastAsia="en-US"/>
        </w:rPr>
        <w:t xml:space="preserve"> Compete ao Conselho Municipal dos Direitos da Pessoa com Deficiência: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I - </w:t>
      </w:r>
      <w:r w:rsidRPr="00555B73">
        <w:rPr>
          <w:rFonts w:ascii="Arial" w:eastAsia="Calibri" w:hAnsi="Arial" w:cs="Arial"/>
          <w:lang w:eastAsia="en-US"/>
        </w:rPr>
        <w:t xml:space="preserve">Acompanhar as políticas municipais voltadas à inclusão da pessoa com deficiência, bem como os direitos, deveres e garantias relacionados às pessoas com deficiência previstos no ordenamento jurídico brasileiro vigente, informando e apresentando medidas a serem adotadas para a efetiva proteção, inclusive podendo representar aos órgãos de fiscalização competentes;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II -</w:t>
      </w:r>
      <w:r w:rsidRPr="00555B73">
        <w:rPr>
          <w:rFonts w:ascii="Arial" w:eastAsia="Calibri" w:hAnsi="Arial" w:cs="Arial"/>
          <w:lang w:eastAsia="en-US"/>
        </w:rPr>
        <w:t xml:space="preserve"> Propor estudos e pesquisas para o aprimoramento das políticas públicas de inclusão e de garantia de direitos das pessoas com deficiência;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III -</w:t>
      </w:r>
      <w:r w:rsidRPr="00555B73">
        <w:rPr>
          <w:rFonts w:ascii="Arial" w:eastAsia="Calibri" w:hAnsi="Arial" w:cs="Arial"/>
          <w:lang w:eastAsia="en-US"/>
        </w:rPr>
        <w:t xml:space="preserve"> Atuar como instância consultiva na formulação, implementação, monitoramento e avaliação das políticas públicas do município voltadas à inclusão e à defesa de direitos da pessoa com deficiência, de acordo com a Lei Federal 13.146/2015 (Lei Brasileira da Inclusão - LBI), Lei Federal nº 13.019/2014 (Marco Regulatório das Organizações da Sociedade Civil) e com os critérios estabelecidos em regimento interno pelo próprio Conselho;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IV -</w:t>
      </w:r>
      <w:r w:rsidRPr="00555B73">
        <w:rPr>
          <w:rFonts w:ascii="Arial" w:eastAsia="Calibri" w:hAnsi="Arial" w:cs="Arial"/>
          <w:lang w:eastAsia="en-US"/>
        </w:rPr>
        <w:t xml:space="preserve"> Emitir pareceres, devidamente fundamentados, sobre assuntos ou questões de sua competência, que lhe sejam enviados pelos demais órgãos da Administração Municipal ou de outras esferas da Federação e por entidades privadas de direito interno ou internacional;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V -</w:t>
      </w:r>
      <w:r w:rsidRPr="00555B73">
        <w:rPr>
          <w:rFonts w:ascii="Arial" w:eastAsia="Calibri" w:hAnsi="Arial" w:cs="Arial"/>
          <w:lang w:eastAsia="en-US"/>
        </w:rPr>
        <w:t xml:space="preserve"> Receber denúncias e reclamações formuladas por qualquer pessoa ou entidade, quando ocorrer ameaça ou violação de direitos da pessoa com deficiência, garantidos e previstos na legislação brasileira de proteção à pessoa com deficiência, </w:t>
      </w:r>
      <w:r w:rsidRPr="00555B73">
        <w:rPr>
          <w:rFonts w:ascii="Arial" w:eastAsia="Calibri" w:hAnsi="Arial" w:cs="Arial"/>
          <w:lang w:eastAsia="en-US"/>
        </w:rPr>
        <w:lastRenderedPageBreak/>
        <w:t xml:space="preserve">encaminhando aos órgãos competentes para adoção de providências de sua alçada nas esferas cível, criminal ou administrativa;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VI -</w:t>
      </w:r>
      <w:r w:rsidRPr="00555B73">
        <w:rPr>
          <w:rFonts w:ascii="Arial" w:eastAsia="Calibri" w:hAnsi="Arial" w:cs="Arial"/>
          <w:lang w:eastAsia="en-US"/>
        </w:rPr>
        <w:t xml:space="preserve"> Acompanhar e orientar Organizações da Sociedade Civil de Interesse Público para tornar efetivos os princípios, as diretrizes e os direitos estabelecidos na legislação </w:t>
      </w:r>
      <w:proofErr w:type="spellStart"/>
      <w:r w:rsidRPr="00555B73">
        <w:rPr>
          <w:rFonts w:ascii="Arial" w:eastAsia="Calibri" w:hAnsi="Arial" w:cs="Arial"/>
          <w:lang w:eastAsia="en-US"/>
        </w:rPr>
        <w:t>brasileiraem</w:t>
      </w:r>
      <w:proofErr w:type="spellEnd"/>
      <w:r w:rsidRPr="00555B73">
        <w:rPr>
          <w:rFonts w:ascii="Arial" w:eastAsia="Calibri" w:hAnsi="Arial" w:cs="Arial"/>
          <w:lang w:eastAsia="en-US"/>
        </w:rPr>
        <w:t xml:space="preserve"> assuntos inerentes a pessoa com deficiência, mantendo registros das mesmas;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VII -</w:t>
      </w:r>
      <w:r w:rsidRPr="00555B73">
        <w:rPr>
          <w:rFonts w:ascii="Arial" w:eastAsia="Calibri" w:hAnsi="Arial" w:cs="Arial"/>
          <w:lang w:eastAsia="en-US"/>
        </w:rPr>
        <w:t xml:space="preserve"> Sugerir modificações nas estruturas públicas do Município destinadas à inclusão e defesa dos direitos da pessoa com deficiência;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VIII -</w:t>
      </w:r>
      <w:r w:rsidRPr="00555B73">
        <w:rPr>
          <w:rFonts w:ascii="Arial" w:eastAsia="Calibri" w:hAnsi="Arial" w:cs="Arial"/>
          <w:lang w:eastAsia="en-US"/>
        </w:rPr>
        <w:t xml:space="preserve"> Acompanhar a elaboração e a execução da proposta orçamentária em âmbito municipal, sugerindo as modificações necessárias à consecução da política formulada visando a inclusão e a defesa dos direitos da pessoa com deficiência;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IX -</w:t>
      </w:r>
      <w:r w:rsidRPr="00555B73">
        <w:rPr>
          <w:rFonts w:ascii="Arial" w:eastAsia="Calibri" w:hAnsi="Arial" w:cs="Arial"/>
          <w:lang w:eastAsia="en-US"/>
        </w:rPr>
        <w:t xml:space="preserve"> Elaborar anualmente o seu Plano de Ação, preferencialmente no primeiro trimestre, aprovando-o pelo voto de, no mínimo, dois terços de seus membros e submetendo-o à aprovação da Secretaria Municipal dos Direitos da Pessoa com Deficiência e Mobilidade Reduzida;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X -</w:t>
      </w:r>
      <w:r w:rsidRPr="00555B73">
        <w:rPr>
          <w:rFonts w:ascii="Arial" w:eastAsia="Calibri" w:hAnsi="Arial" w:cs="Arial"/>
          <w:lang w:eastAsia="en-US"/>
        </w:rPr>
        <w:t xml:space="preserve"> Elaborar o seu regimento interno, aprovando-o pelo voto de, no mínimo, dois terços de seus membros, nele definindo, inclusive, a periodicidade das reuniões presenciais ou virtuais e o modo de constituição de suas comissões temáticas;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XI -</w:t>
      </w:r>
      <w:r w:rsidRPr="00555B73">
        <w:rPr>
          <w:rFonts w:ascii="Arial" w:eastAsia="Calibri" w:hAnsi="Arial" w:cs="Arial"/>
          <w:lang w:eastAsia="en-US"/>
        </w:rPr>
        <w:t xml:space="preserve"> Fomentar e implementar a criação de fóruns e/ou câmaras temáticas, comitês, grupos de trabalho e demais formas de organização da sociedade civil; e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XII-</w:t>
      </w:r>
      <w:r w:rsidRPr="00555B73">
        <w:rPr>
          <w:rFonts w:ascii="Arial" w:eastAsia="Calibri" w:hAnsi="Arial" w:cs="Arial"/>
          <w:lang w:eastAsia="en-US"/>
        </w:rPr>
        <w:t xml:space="preserve"> Acompanhar, conjuntamente com os demais Conselhos Municipais, os projetos, programas, campanhas educativas de sensibilização e conscientização e outras ações e serviços voltados às pessoas com deficiência.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Art. 3º </w:t>
      </w:r>
      <w:r w:rsidRPr="00555B73">
        <w:rPr>
          <w:rFonts w:ascii="Arial" w:eastAsia="Calibri" w:hAnsi="Arial" w:cs="Arial"/>
          <w:lang w:eastAsia="en-US"/>
        </w:rPr>
        <w:t xml:space="preserve">O Conselho Municipal dos Direitos da Pessoa com Deficiência será composto por 10 (dez) membros e seus respectivos suplentes, representantes do Governo Municipal e da Sociedade Civil, sendo: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I - </w:t>
      </w:r>
      <w:r w:rsidRPr="00555B73">
        <w:rPr>
          <w:rFonts w:ascii="Arial" w:eastAsia="Calibri" w:hAnsi="Arial" w:cs="Arial"/>
          <w:lang w:eastAsia="en-US"/>
        </w:rPr>
        <w:t xml:space="preserve">5 (cinco) representantes titulares e respectivos suplentes da Sociedade Civil, assim distribuídos: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lang w:eastAsia="en-US"/>
        </w:rPr>
        <w:t>a) 2 (dois) oriundos de Organizações da Sociedade Civil com sede no Município, devidamente constituídas e tendo por objeto social a promoção da inclusão e/ou a defesa de direitos das pessoas com deficiência;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lang w:eastAsia="en-US"/>
        </w:rPr>
        <w:t>b) 2 (dois) pais ou responsáveis de pessoa com deficiência ou mobilidade reduzida.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lang w:eastAsia="en-US"/>
        </w:rPr>
        <w:t>b) 1 (uma) pessoa com deficiência ou mobilidade reduzida.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II - </w:t>
      </w:r>
      <w:r w:rsidRPr="00555B73">
        <w:rPr>
          <w:rFonts w:ascii="Arial" w:eastAsia="Calibri" w:hAnsi="Arial" w:cs="Arial"/>
          <w:lang w:eastAsia="en-US"/>
        </w:rPr>
        <w:t xml:space="preserve">5 (cinco) representantes titulares e respectivos suplentes do Governo Municipal, integrantes dos seguintes órgãos: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lang w:eastAsia="en-US"/>
        </w:rPr>
        <w:t>a) 1 (um) da Secretaria Municipal dos Direitos da Pessoa com Deficiência e Mobilidade Reduzida;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lang w:eastAsia="en-US"/>
        </w:rPr>
        <w:t xml:space="preserve">b) 1 (um) da Secretaria Municipal de Saúde;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lang w:eastAsia="en-US"/>
        </w:rPr>
        <w:t xml:space="preserve">c) 1 (um) da Secretaria Municipal de Educação;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lang w:eastAsia="en-US"/>
        </w:rPr>
        <w:t xml:space="preserve">d) 1 (um) da Secretaria Municipal de Desenvolvimento Social;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lang w:eastAsia="en-US"/>
        </w:rPr>
        <w:t>e) 1 (um) da Secretaria Municipal de Mobilidade Urbana e Segurança.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§ 1º </w:t>
      </w:r>
      <w:r w:rsidRPr="00555B73">
        <w:rPr>
          <w:rFonts w:ascii="Arial" w:eastAsia="Calibri" w:hAnsi="Arial" w:cs="Arial"/>
          <w:lang w:eastAsia="en-US"/>
        </w:rPr>
        <w:t>Os membros da sociedade civil e os representantes do Governo Municipal serão designados por ato do Prefeito Municipal para um mandato de 2 (dois) anos, permitida uma única recondução.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§ 2º </w:t>
      </w:r>
      <w:r w:rsidRPr="00555B73">
        <w:rPr>
          <w:rFonts w:ascii="Arial" w:eastAsia="Calibri" w:hAnsi="Arial" w:cs="Arial"/>
          <w:lang w:eastAsia="en-US"/>
        </w:rPr>
        <w:t>As funções de Conselheiro são consideradas como de relevante serviço público e não serão remuneradas.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Art. 4º</w:t>
      </w:r>
      <w:r w:rsidRPr="00555B73">
        <w:rPr>
          <w:rFonts w:ascii="Arial" w:eastAsia="Calibri" w:hAnsi="Arial" w:cs="Arial"/>
          <w:lang w:eastAsia="en-US"/>
        </w:rPr>
        <w:t xml:space="preserve"> A Secretaria Municipal dos Direitos da Pessoa com Deficiência e Mobilidade Reduzida dará suporte administrativo e financeiro ao Conselho Municipal dos Direitos da Pessoa com Deficiência, que contará, também, com a colaboração técnica dos demais órgãos municipais nele representados.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Art. 5º </w:t>
      </w:r>
      <w:r w:rsidRPr="00555B73">
        <w:rPr>
          <w:rFonts w:ascii="Arial" w:eastAsia="Calibri" w:hAnsi="Arial" w:cs="Arial"/>
          <w:lang w:eastAsia="en-US"/>
        </w:rPr>
        <w:t xml:space="preserve">O Conselho Municipal dos Direitos da Pessoa com Deficiência será dirigido por uma mesa diretora, com a seguinte composição: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I -</w:t>
      </w:r>
      <w:r w:rsidRPr="00555B73">
        <w:rPr>
          <w:rFonts w:ascii="Arial" w:eastAsia="Calibri" w:hAnsi="Arial" w:cs="Arial"/>
          <w:lang w:eastAsia="en-US"/>
        </w:rPr>
        <w:t xml:space="preserve"> Presidente;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II - </w:t>
      </w:r>
      <w:r w:rsidRPr="00555B73">
        <w:rPr>
          <w:rFonts w:ascii="Arial" w:eastAsia="Calibri" w:hAnsi="Arial" w:cs="Arial"/>
          <w:lang w:eastAsia="en-US"/>
        </w:rPr>
        <w:t>Vice-Presidente;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III - </w:t>
      </w:r>
      <w:r w:rsidRPr="00555B73">
        <w:rPr>
          <w:rFonts w:ascii="Arial" w:eastAsia="Calibri" w:hAnsi="Arial" w:cs="Arial"/>
          <w:lang w:eastAsia="en-US"/>
        </w:rPr>
        <w:t>1º Secretário;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IV - </w:t>
      </w:r>
      <w:r w:rsidRPr="00555B73">
        <w:rPr>
          <w:rFonts w:ascii="Arial" w:eastAsia="Calibri" w:hAnsi="Arial" w:cs="Arial"/>
          <w:lang w:eastAsia="en-US"/>
        </w:rPr>
        <w:t>2º Secretário.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>§ 1º</w:t>
      </w:r>
      <w:r w:rsidRPr="00555B73">
        <w:rPr>
          <w:rFonts w:ascii="Arial" w:eastAsia="Calibri" w:hAnsi="Arial" w:cs="Arial"/>
          <w:lang w:eastAsia="en-US"/>
        </w:rPr>
        <w:t xml:space="preserve"> A Mesa Diretora será eleita na primeira reunião extraordinária convocada para esta finalidade, no prazo máximo de 15 (quinze) dias após a nomeação a que se refere o § 1º do artigo 3º. 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lastRenderedPageBreak/>
        <w:t>§ 2º</w:t>
      </w:r>
      <w:r w:rsidRPr="00555B73">
        <w:rPr>
          <w:rFonts w:ascii="Arial" w:eastAsia="Calibri" w:hAnsi="Arial" w:cs="Arial"/>
          <w:lang w:eastAsia="en-US"/>
        </w:rPr>
        <w:t xml:space="preserve"> A eleição da Mesa Diretora, em sessão presidida pelos representantes da Secretaria Municipal dos Direitos da Pessoa com Deficiência ou outra que a substitua, dar-se-á mediante escolha dentre seus membros, por voto de maioria simples, para ocuparem os cargos pelo período de 2 (dois) anos, permitida uma única recondução.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§ 3º </w:t>
      </w:r>
      <w:r w:rsidRPr="00555B73">
        <w:rPr>
          <w:rFonts w:ascii="Arial" w:eastAsia="Calibri" w:hAnsi="Arial" w:cs="Arial"/>
          <w:lang w:eastAsia="en-US"/>
        </w:rPr>
        <w:t>Os eleitos tomarão posse imediatamente após a proclamação do resultado, na mesma sessão em que forem escolhidos.</w:t>
      </w:r>
    </w:p>
    <w:p w:rsidR="00555B73" w:rsidRPr="00555B73" w:rsidRDefault="00555B73" w:rsidP="00555B73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180455" w:rsidRPr="00555B73" w:rsidRDefault="00555B73" w:rsidP="00555B73">
      <w:pPr>
        <w:spacing w:line="320" w:lineRule="exact"/>
        <w:ind w:firstLine="709"/>
        <w:jc w:val="both"/>
        <w:rPr>
          <w:rFonts w:ascii="Arial" w:hAnsi="Arial" w:cs="Arial"/>
          <w:snapToGrid w:val="0"/>
        </w:rPr>
      </w:pPr>
      <w:r w:rsidRPr="00555B73">
        <w:rPr>
          <w:rFonts w:ascii="Arial" w:eastAsia="Calibri" w:hAnsi="Arial" w:cs="Arial"/>
          <w:b/>
          <w:lang w:eastAsia="en-US"/>
        </w:rPr>
        <w:t xml:space="preserve">Art. 6º </w:t>
      </w:r>
      <w:r w:rsidRPr="00555B73">
        <w:rPr>
          <w:rFonts w:ascii="Arial" w:eastAsia="Calibri" w:hAnsi="Arial" w:cs="Arial"/>
          <w:lang w:eastAsia="en-US"/>
        </w:rPr>
        <w:t xml:space="preserve">Esta Lei entra em vigor na data de sua publicação, revogadas as disposições em contrário, em especial as Leis </w:t>
      </w:r>
      <w:proofErr w:type="spellStart"/>
      <w:r w:rsidRPr="00555B73">
        <w:rPr>
          <w:rFonts w:ascii="Arial" w:eastAsia="Calibri" w:hAnsi="Arial" w:cs="Arial"/>
          <w:lang w:eastAsia="en-US"/>
        </w:rPr>
        <w:t>nºs</w:t>
      </w:r>
      <w:proofErr w:type="spellEnd"/>
      <w:r w:rsidRPr="00555B73">
        <w:rPr>
          <w:rFonts w:ascii="Arial" w:eastAsia="Calibri" w:hAnsi="Arial" w:cs="Arial"/>
          <w:lang w:eastAsia="en-US"/>
        </w:rPr>
        <w:t xml:space="preserve"> 1.810, de 27 de junho de 1996 e 2.866, de 27 de novembro de 2009.</w:t>
      </w:r>
    </w:p>
    <w:p w:rsidR="00452507" w:rsidRDefault="00452507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555B73" w:rsidRPr="00384A94" w:rsidRDefault="00555B73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555B73">
        <w:rPr>
          <w:rFonts w:ascii="Arial" w:hAnsi="Arial" w:cs="Arial"/>
          <w:szCs w:val="26"/>
        </w:rPr>
        <w:t>10 de Maio</w:t>
      </w:r>
      <w:r w:rsidR="00A329B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2022-05-10T10:59:00Z</cp:lastPrinted>
  <dcterms:created xsi:type="dcterms:W3CDTF">2022-05-10T10:58:00Z</dcterms:created>
  <dcterms:modified xsi:type="dcterms:W3CDTF">2022-05-10T11:02:00Z</dcterms:modified>
</cp:coreProperties>
</file>