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E2667C">
        <w:rPr>
          <w:rFonts w:ascii="Arial" w:hAnsi="Arial" w:cs="Arial"/>
        </w:rPr>
        <w:t xml:space="preserve">Lei N° </w:t>
      </w:r>
      <w:r w:rsidR="002517B2">
        <w:rPr>
          <w:rFonts w:ascii="Arial" w:hAnsi="Arial" w:cs="Arial"/>
        </w:rPr>
        <w:t>25</w:t>
      </w:r>
      <w:r w:rsidR="003467C1">
        <w:rPr>
          <w:rFonts w:ascii="Arial" w:hAnsi="Arial" w:cs="Arial"/>
        </w:rPr>
        <w:t>/201</w:t>
      </w:r>
      <w:r w:rsidR="00C735A0">
        <w:rPr>
          <w:rFonts w:ascii="Arial" w:hAnsi="Arial" w:cs="Arial"/>
        </w:rPr>
        <w:t>9</w:t>
      </w:r>
      <w:r w:rsidR="00EA2434">
        <w:rPr>
          <w:rFonts w:ascii="Arial" w:hAnsi="Arial" w:cs="Arial"/>
        </w:rPr>
        <w:t>-L</w:t>
      </w:r>
      <w:r w:rsidR="00256157">
        <w:rPr>
          <w:rFonts w:ascii="Arial" w:hAnsi="Arial" w:cs="Arial"/>
        </w:rPr>
        <w:t xml:space="preserve">, com </w:t>
      </w:r>
      <w:r w:rsidR="002B42F6">
        <w:rPr>
          <w:rFonts w:ascii="Arial" w:hAnsi="Arial" w:cs="Arial"/>
        </w:rPr>
        <w:t>Emenda</w:t>
      </w:r>
      <w:r w:rsidR="00256157">
        <w:rPr>
          <w:rFonts w:ascii="Arial" w:hAnsi="Arial" w:cs="Arial"/>
        </w:rPr>
        <w:t xml:space="preserve"> aprovada na Sessão </w:t>
      </w:r>
      <w:r w:rsidR="00242738">
        <w:rPr>
          <w:rFonts w:ascii="Arial" w:hAnsi="Arial" w:cs="Arial"/>
        </w:rPr>
        <w:t>O</w:t>
      </w:r>
      <w:r w:rsidR="00256157">
        <w:rPr>
          <w:rFonts w:ascii="Arial" w:hAnsi="Arial" w:cs="Arial"/>
        </w:rPr>
        <w:t>rdinária realizada em</w:t>
      </w:r>
      <w:r>
        <w:rPr>
          <w:rFonts w:ascii="Arial" w:hAnsi="Arial" w:cs="Arial"/>
        </w:rPr>
        <w:t xml:space="preserve"> </w:t>
      </w:r>
      <w:r w:rsidR="00C92687">
        <w:rPr>
          <w:rFonts w:ascii="Arial" w:hAnsi="Arial" w:cs="Arial"/>
        </w:rPr>
        <w:t>12</w:t>
      </w:r>
      <w:r w:rsidR="002517B2">
        <w:rPr>
          <w:rFonts w:ascii="Arial" w:hAnsi="Arial" w:cs="Arial"/>
        </w:rPr>
        <w:t xml:space="preserve"> de Agosto</w:t>
      </w:r>
      <w:r w:rsidR="003467C1">
        <w:rPr>
          <w:rFonts w:ascii="Arial" w:hAnsi="Arial" w:cs="Arial"/>
        </w:rPr>
        <w:t xml:space="preserve"> de 2019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E2667C">
        <w:rPr>
          <w:rFonts w:ascii="Arial" w:hAnsi="Arial" w:cs="Arial"/>
          <w:b/>
          <w:sz w:val="36"/>
          <w:szCs w:val="36"/>
          <w:u w:val="single"/>
        </w:rPr>
        <w:t>LEI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 N° </w:t>
      </w:r>
      <w:r w:rsidR="002517B2">
        <w:rPr>
          <w:rFonts w:ascii="Arial" w:hAnsi="Arial" w:cs="Arial"/>
          <w:b/>
          <w:sz w:val="36"/>
          <w:szCs w:val="36"/>
          <w:u w:val="single"/>
        </w:rPr>
        <w:t>25</w:t>
      </w:r>
      <w:r w:rsidR="003467C1">
        <w:rPr>
          <w:rFonts w:ascii="Arial" w:hAnsi="Arial" w:cs="Arial"/>
          <w:b/>
          <w:sz w:val="36"/>
          <w:szCs w:val="36"/>
          <w:u w:val="single"/>
        </w:rPr>
        <w:t>/201</w:t>
      </w:r>
      <w:r w:rsidR="00C735A0">
        <w:rPr>
          <w:rFonts w:ascii="Arial" w:hAnsi="Arial" w:cs="Arial"/>
          <w:b/>
          <w:sz w:val="36"/>
          <w:szCs w:val="36"/>
          <w:u w:val="single"/>
        </w:rPr>
        <w:t>9</w:t>
      </w:r>
      <w:r w:rsidR="00EA2434">
        <w:rPr>
          <w:rFonts w:ascii="Arial" w:hAnsi="Arial" w:cs="Arial"/>
          <w:b/>
          <w:sz w:val="36"/>
          <w:szCs w:val="36"/>
          <w:u w:val="single"/>
        </w:rPr>
        <w:t>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C735A0" w:rsidRPr="00C92687" w:rsidRDefault="002517B2" w:rsidP="00C735A0">
      <w:pPr>
        <w:ind w:left="3544"/>
        <w:jc w:val="both"/>
        <w:rPr>
          <w:rFonts w:ascii="Arial" w:hAnsi="Arial" w:cs="Arial"/>
          <w:b/>
          <w:bCs/>
          <w:sz w:val="26"/>
          <w:szCs w:val="26"/>
        </w:rPr>
      </w:pPr>
      <w:r w:rsidRPr="00C92687">
        <w:rPr>
          <w:rFonts w:ascii="Arial" w:hAnsi="Arial" w:cs="Arial"/>
          <w:b/>
          <w:bCs/>
          <w:sz w:val="26"/>
          <w:szCs w:val="26"/>
        </w:rPr>
        <w:t>AUTORIZA O SERVIÇO AUTÔNOMO DE ÁGUA E ESGOTO DE BARRA BONITA – SAAE, REALIZAR A TRANSFERÊNCIA DE TITULARIDADE DAS CONTAS DE ÁGUA PARA O NOME DO LOCATÁRIO DO IMÓVEL.</w:t>
      </w:r>
    </w:p>
    <w:p w:rsidR="00807C4B" w:rsidRPr="00802434" w:rsidRDefault="00807C4B" w:rsidP="00C735A0">
      <w:pPr>
        <w:ind w:left="3544"/>
        <w:jc w:val="both"/>
        <w:rPr>
          <w:rFonts w:ascii="Arial" w:hAnsi="Arial" w:cs="Arial"/>
          <w:b/>
        </w:rPr>
      </w:pPr>
    </w:p>
    <w:p w:rsidR="00597CB0" w:rsidRDefault="00597CB0" w:rsidP="00597CB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eastAsia="en-US"/>
        </w:rPr>
      </w:pP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Art. 1º –</w:t>
      </w:r>
      <w:r w:rsidRPr="002517B2">
        <w:rPr>
          <w:rFonts w:ascii="Arial" w:hAnsi="Arial" w:cs="Arial"/>
          <w:color w:val="000000"/>
        </w:rPr>
        <w:t> Ficam os locatários de imóveis urbanos residenciais e não residenciais, situados no âmbito do município, obrigados a informar ao Serviço Autônomo de Água e Esgoto a celebração do contrato de locação, no prazo de 30 (trinta) dias a contar da data de assinatura do contrato, solicitando a transferência da titularidade pelo pagamento das referidas contas de consumo.</w:t>
      </w: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color w:val="000000"/>
        </w:rPr>
      </w:pP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§ 1º -</w:t>
      </w:r>
      <w:r w:rsidRPr="002517B2">
        <w:rPr>
          <w:rFonts w:ascii="Arial" w:hAnsi="Arial" w:cs="Arial"/>
          <w:color w:val="000000"/>
        </w:rPr>
        <w:t> O locatário deverá apresentar às concessionárias fotocópias de sua cédula de identidade, cartão de inscrição no CIC ou CNPJ e do contrato de locação no prazo acima assinado, para realizar a transferência de responsabilidade e titularidade.</w:t>
      </w: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§ 2º -</w:t>
      </w:r>
      <w:r w:rsidRPr="002517B2">
        <w:rPr>
          <w:rFonts w:ascii="Arial" w:hAnsi="Arial" w:cs="Arial"/>
          <w:color w:val="000000"/>
        </w:rPr>
        <w:t> Será admitido ao locador efetuar a comunicação da locação e a respectiva transferência de titularidade e de responsabilidade ao locatário se esta não for intentada no prazo assinado, apresentando os documentos exigidos no parágrafo primeiro do artigo.</w:t>
      </w:r>
    </w:p>
    <w:p w:rsidR="002517B2" w:rsidRPr="002517B2" w:rsidRDefault="002517B2" w:rsidP="002517B2">
      <w:pPr>
        <w:jc w:val="both"/>
        <w:rPr>
          <w:rFonts w:ascii="Arial" w:hAnsi="Arial" w:cs="Arial"/>
          <w:b/>
          <w:bCs/>
          <w:color w:val="000000"/>
        </w:rPr>
      </w:pP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Art. 2º</w:t>
      </w:r>
      <w:r w:rsidRPr="002517B2">
        <w:rPr>
          <w:rFonts w:ascii="Arial" w:hAnsi="Arial" w:cs="Arial"/>
          <w:color w:val="000000"/>
        </w:rPr>
        <w:t> </w:t>
      </w:r>
      <w:r w:rsidRPr="002517B2">
        <w:rPr>
          <w:rFonts w:ascii="Arial" w:hAnsi="Arial" w:cs="Arial"/>
          <w:b/>
          <w:bCs/>
          <w:color w:val="000000"/>
        </w:rPr>
        <w:t>–</w:t>
      </w:r>
      <w:r w:rsidRPr="002517B2">
        <w:rPr>
          <w:rFonts w:ascii="Arial" w:hAnsi="Arial" w:cs="Arial"/>
          <w:color w:val="000000"/>
        </w:rPr>
        <w:t> O SAAE terá o prazo de 30 (trinta) dias, a contar da data de protocolo do pedido de transferência de responsabilidade e titularidade das contas de consumo, para emitir as faturas em nome do locatário.</w:t>
      </w:r>
    </w:p>
    <w:p w:rsidR="002517B2" w:rsidRPr="002517B2" w:rsidRDefault="002517B2" w:rsidP="002517B2">
      <w:pPr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C92687" w:rsidRDefault="002517B2" w:rsidP="002517B2">
      <w:pPr>
        <w:ind w:firstLine="567"/>
        <w:jc w:val="both"/>
        <w:rPr>
          <w:rFonts w:ascii="Arial" w:hAnsi="Arial" w:cs="Arial"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§ 1º -</w:t>
      </w:r>
      <w:r w:rsidRPr="002517B2">
        <w:rPr>
          <w:rFonts w:ascii="Arial" w:hAnsi="Arial" w:cs="Arial"/>
          <w:color w:val="000000"/>
        </w:rPr>
        <w:t> Finda a locação, o locador fica obrigado a efetuar a respectiva transferência de responsabilidade e titularidade das contas de c</w:t>
      </w:r>
      <w:r w:rsidR="00C92687">
        <w:rPr>
          <w:rFonts w:ascii="Arial" w:hAnsi="Arial" w:cs="Arial"/>
          <w:color w:val="000000"/>
        </w:rPr>
        <w:t>onsumo para o seu nome no prazo</w:t>
      </w:r>
    </w:p>
    <w:p w:rsidR="002517B2" w:rsidRPr="002517B2" w:rsidRDefault="002517B2" w:rsidP="00C92687">
      <w:pPr>
        <w:rPr>
          <w:rFonts w:ascii="Arial" w:hAnsi="Arial" w:cs="Arial"/>
          <w:b/>
          <w:bCs/>
          <w:color w:val="000000"/>
        </w:rPr>
      </w:pPr>
      <w:proofErr w:type="gramStart"/>
      <w:r w:rsidRPr="002517B2">
        <w:rPr>
          <w:rFonts w:ascii="Arial" w:hAnsi="Arial" w:cs="Arial"/>
          <w:color w:val="000000"/>
        </w:rPr>
        <w:t>de</w:t>
      </w:r>
      <w:proofErr w:type="gramEnd"/>
      <w:r w:rsidRPr="002517B2">
        <w:rPr>
          <w:rFonts w:ascii="Arial" w:hAnsi="Arial" w:cs="Arial"/>
          <w:color w:val="000000"/>
        </w:rPr>
        <w:t xml:space="preserve"> 30 dias da extinção da locação.</w:t>
      </w:r>
      <w:r w:rsidRPr="002517B2">
        <w:rPr>
          <w:color w:val="000000"/>
        </w:rPr>
        <w:br/>
      </w: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§ 2º -</w:t>
      </w:r>
      <w:r w:rsidRPr="002517B2">
        <w:rPr>
          <w:rFonts w:ascii="Arial" w:hAnsi="Arial" w:cs="Arial"/>
          <w:color w:val="000000"/>
        </w:rPr>
        <w:t> A prova de extinção do contrato de locação será feita através de novo contrato de locação, permitindo a transferência de titularidade das contas diretamente para o novo locatário, ou através de termo de rescisão ou de qualquer outro meio em direito admitido como comprobatório de extinção do contrato, de sentença judicial, desde que comprovado ter sido o locador ou o proprietário imitido na posse direta do imóvel. </w:t>
      </w:r>
    </w:p>
    <w:p w:rsid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C92687" w:rsidRPr="002517B2" w:rsidRDefault="00C92687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Art. 3º –</w:t>
      </w:r>
      <w:r w:rsidRPr="002517B2">
        <w:rPr>
          <w:rFonts w:ascii="Arial" w:hAnsi="Arial" w:cs="Arial"/>
          <w:color w:val="000000"/>
        </w:rPr>
        <w:t> A fatura deverá especificar o nome e o Cadastro de Pessoa Física (CPF) do locatário ou o número de inscrição da empresa no Cadastro Nacional de Pessoa Jurídica (CNPJ), para efeito de cobrança e penalidades legais. </w:t>
      </w: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Art. 4º –</w:t>
      </w:r>
      <w:r w:rsidRPr="002517B2">
        <w:rPr>
          <w:rFonts w:ascii="Arial" w:hAnsi="Arial" w:cs="Arial"/>
          <w:color w:val="000000"/>
        </w:rPr>
        <w:t> Fica o locatário responsável por todos os pagamentos das faturas de consumo de água referente ao período da locação e eventuais dívidas e multas decorrentes do atraso ou não pagamento das contas mencionadas no caput do Artigo 1º durante a vigência da locação, ainda que vigendo por prazo indeterminado, as quais não podem ser imputadas ao locador ou proprietário do imóvel.</w:t>
      </w:r>
      <w:r w:rsidRPr="002517B2">
        <w:rPr>
          <w:color w:val="000000"/>
        </w:rPr>
        <w:br/>
      </w: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§ 1º -</w:t>
      </w:r>
      <w:r w:rsidRPr="002517B2">
        <w:rPr>
          <w:rFonts w:ascii="Arial" w:hAnsi="Arial" w:cs="Arial"/>
          <w:color w:val="000000"/>
        </w:rPr>
        <w:t> O descumprimento do disposto no </w:t>
      </w:r>
      <w:r w:rsidRPr="002517B2">
        <w:rPr>
          <w:rFonts w:ascii="Arial" w:hAnsi="Arial" w:cs="Arial"/>
          <w:i/>
          <w:iCs/>
          <w:color w:val="000000"/>
        </w:rPr>
        <w:t>caput</w:t>
      </w:r>
      <w:r w:rsidRPr="002517B2">
        <w:rPr>
          <w:rFonts w:ascii="Arial" w:hAnsi="Arial" w:cs="Arial"/>
          <w:color w:val="000000"/>
        </w:rPr>
        <w:t> deste artigo não desobriga e não exonera o fiador, se existente, da responsabilidade pelo pagamento do consumo, multas e juros de mora decorrentes do atraso no pagamento das contas, nos termos do contrato de locação e da lei civil.</w:t>
      </w: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Art. 5º –</w:t>
      </w:r>
      <w:r w:rsidRPr="002517B2">
        <w:rPr>
          <w:rFonts w:ascii="Arial" w:hAnsi="Arial" w:cs="Arial"/>
          <w:color w:val="000000"/>
        </w:rPr>
        <w:t> O não cumprimento da presente Lei acarretará as seguintes penalidades:</w:t>
      </w:r>
      <w:r w:rsidRPr="002517B2">
        <w:rPr>
          <w:color w:val="000000"/>
        </w:rPr>
        <w:br/>
      </w: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a) -</w:t>
      </w:r>
      <w:r w:rsidRPr="002517B2">
        <w:rPr>
          <w:rFonts w:ascii="Arial" w:hAnsi="Arial" w:cs="Arial"/>
          <w:color w:val="000000"/>
        </w:rPr>
        <w:t xml:space="preserve"> Multa </w:t>
      </w:r>
      <w:r w:rsidRPr="002517B2">
        <w:rPr>
          <w:rFonts w:ascii="Arial" w:hAnsi="Arial" w:cs="Arial"/>
          <w:bCs/>
          <w:color w:val="000000"/>
        </w:rPr>
        <w:t xml:space="preserve">correspondente a 10 (dez) Unidades Fiscais do Estado de São Paulo </w:t>
      </w:r>
      <w:r>
        <w:rPr>
          <w:rFonts w:ascii="Arial" w:hAnsi="Arial" w:cs="Arial"/>
          <w:bCs/>
          <w:color w:val="000000"/>
        </w:rPr>
        <w:t>–</w:t>
      </w:r>
      <w:r w:rsidRPr="002517B2">
        <w:rPr>
          <w:rFonts w:ascii="Arial" w:hAnsi="Arial" w:cs="Arial"/>
          <w:bCs/>
          <w:color w:val="000000"/>
        </w:rPr>
        <w:t xml:space="preserve"> </w:t>
      </w:r>
      <w:proofErr w:type="spellStart"/>
      <w:r w:rsidRPr="002517B2">
        <w:rPr>
          <w:rFonts w:ascii="Arial" w:hAnsi="Arial" w:cs="Arial"/>
          <w:bCs/>
          <w:color w:val="000000"/>
        </w:rPr>
        <w:t>UFESP</w:t>
      </w:r>
      <w:r>
        <w:rPr>
          <w:rFonts w:ascii="Arial" w:hAnsi="Arial" w:cs="Arial"/>
          <w:bCs/>
          <w:color w:val="000000"/>
        </w:rPr>
        <w:t>’</w:t>
      </w:r>
      <w:r w:rsidRPr="002517B2">
        <w:rPr>
          <w:rFonts w:ascii="Arial" w:hAnsi="Arial" w:cs="Arial"/>
          <w:bCs/>
          <w:color w:val="000000"/>
        </w:rPr>
        <w:t>s</w:t>
      </w:r>
      <w:proofErr w:type="spellEnd"/>
      <w:r w:rsidRPr="002517B2">
        <w:rPr>
          <w:rFonts w:ascii="Arial" w:hAnsi="Arial" w:cs="Arial"/>
          <w:bCs/>
          <w:color w:val="000000"/>
        </w:rPr>
        <w:t xml:space="preserve"> para</w:t>
      </w:r>
      <w:r>
        <w:rPr>
          <w:rFonts w:ascii="Arial" w:hAnsi="Arial" w:cs="Arial"/>
          <w:bCs/>
          <w:color w:val="000000"/>
        </w:rPr>
        <w:t xml:space="preserve"> </w:t>
      </w:r>
      <w:r w:rsidRPr="002517B2">
        <w:rPr>
          <w:rFonts w:ascii="Arial" w:hAnsi="Arial" w:cs="Arial"/>
          <w:bCs/>
          <w:color w:val="000000"/>
        </w:rPr>
        <w:t>os locatários que deixarem de informar às concessionárias de serviços públicos sobre o contrato de locação. A multa será revertida ao SAAE</w:t>
      </w:r>
      <w:r>
        <w:rPr>
          <w:rFonts w:ascii="Arial" w:hAnsi="Arial" w:cs="Arial"/>
          <w:bCs/>
          <w:color w:val="000000"/>
        </w:rPr>
        <w:t>;</w:t>
      </w:r>
      <w:r w:rsidRPr="002517B2">
        <w:rPr>
          <w:color w:val="000000"/>
        </w:rPr>
        <w:br/>
      </w:r>
    </w:p>
    <w:p w:rsidR="002517B2" w:rsidRDefault="002517B2" w:rsidP="002517B2">
      <w:pPr>
        <w:ind w:firstLine="567"/>
        <w:jc w:val="both"/>
        <w:rPr>
          <w:rFonts w:ascii="Arial" w:hAnsi="Arial" w:cs="Arial"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b) -</w:t>
      </w:r>
      <w:r w:rsidRPr="002517B2">
        <w:rPr>
          <w:rFonts w:ascii="Arial" w:hAnsi="Arial" w:cs="Arial"/>
          <w:color w:val="000000"/>
        </w:rPr>
        <w:t xml:space="preserve"> Multa de 10 (dez) </w:t>
      </w:r>
      <w:proofErr w:type="spellStart"/>
      <w:r w:rsidRPr="002517B2">
        <w:rPr>
          <w:rFonts w:ascii="Arial" w:hAnsi="Arial" w:cs="Arial"/>
          <w:color w:val="000000"/>
        </w:rPr>
        <w:t>UFESP</w:t>
      </w:r>
      <w:r>
        <w:rPr>
          <w:rFonts w:ascii="Arial" w:hAnsi="Arial" w:cs="Arial"/>
          <w:color w:val="000000"/>
        </w:rPr>
        <w:t>’</w:t>
      </w:r>
      <w:r w:rsidRPr="002517B2">
        <w:rPr>
          <w:rFonts w:ascii="Arial" w:hAnsi="Arial" w:cs="Arial"/>
          <w:color w:val="000000"/>
        </w:rPr>
        <w:t>s</w:t>
      </w:r>
      <w:proofErr w:type="spellEnd"/>
      <w:r>
        <w:rPr>
          <w:rFonts w:ascii="Arial" w:hAnsi="Arial" w:cs="Arial"/>
          <w:color w:val="000000"/>
        </w:rPr>
        <w:t xml:space="preserve"> ao SAAE quando</w:t>
      </w:r>
      <w:r w:rsidRPr="002517B2">
        <w:rPr>
          <w:rFonts w:ascii="Arial" w:hAnsi="Arial" w:cs="Arial"/>
          <w:color w:val="000000"/>
        </w:rPr>
        <w:t xml:space="preserve"> deixar de transferir a titularidade das contas de consumo para o nome do inquilino, resguardadas as condições dispostas acima.</w:t>
      </w:r>
    </w:p>
    <w:p w:rsidR="00C92687" w:rsidRPr="002517B2" w:rsidRDefault="00C92687" w:rsidP="002517B2">
      <w:pPr>
        <w:ind w:firstLine="567"/>
        <w:jc w:val="both"/>
        <w:rPr>
          <w:rFonts w:ascii="Arial" w:hAnsi="Arial" w:cs="Arial"/>
          <w:color w:val="000000"/>
        </w:rPr>
      </w:pPr>
    </w:p>
    <w:p w:rsidR="002517B2" w:rsidRDefault="00C92687" w:rsidP="00C92687">
      <w:pPr>
        <w:ind w:firstLine="567"/>
        <w:jc w:val="both"/>
        <w:rPr>
          <w:rFonts w:ascii="Arial" w:hAnsi="Arial" w:cs="Arial"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§ 1º -</w:t>
      </w:r>
      <w:r w:rsidRPr="002517B2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Na hipótese da alínea “b” desse artigo, a multa reverterá em benefício do locador, mediante a compensação de crédito, na forma da legislação tributária.</w:t>
      </w:r>
    </w:p>
    <w:p w:rsidR="00C92687" w:rsidRDefault="00C92687" w:rsidP="00C92687">
      <w:pPr>
        <w:ind w:firstLine="567"/>
        <w:jc w:val="both"/>
        <w:rPr>
          <w:rFonts w:ascii="Arial" w:hAnsi="Arial" w:cs="Arial"/>
          <w:color w:val="000000"/>
        </w:rPr>
      </w:pPr>
    </w:p>
    <w:p w:rsidR="00C92687" w:rsidRDefault="00C92687" w:rsidP="00C92687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§ 2</w:t>
      </w:r>
      <w:r w:rsidRPr="002517B2">
        <w:rPr>
          <w:rFonts w:ascii="Arial" w:hAnsi="Arial" w:cs="Arial"/>
          <w:b/>
          <w:bCs/>
          <w:color w:val="000000"/>
        </w:rPr>
        <w:t>º -</w:t>
      </w:r>
      <w:r w:rsidRPr="002517B2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 Poder Executivo poderá regulamentar a presente Lei no que couber, especialmente para aplicação e fiscalização da presente Lei.</w:t>
      </w:r>
    </w:p>
    <w:p w:rsidR="00C92687" w:rsidRPr="002517B2" w:rsidRDefault="00C92687" w:rsidP="00C92687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3467C1" w:rsidRPr="00EA2434" w:rsidRDefault="002517B2" w:rsidP="002517B2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517B2">
        <w:rPr>
          <w:rFonts w:ascii="Arial" w:hAnsi="Arial" w:cs="Arial"/>
          <w:b/>
          <w:bCs/>
          <w:color w:val="000000"/>
        </w:rPr>
        <w:t>Art. 6º –</w:t>
      </w:r>
      <w:r w:rsidRPr="002517B2">
        <w:rPr>
          <w:rFonts w:ascii="Arial" w:hAnsi="Arial" w:cs="Arial"/>
          <w:color w:val="000000"/>
        </w:rPr>
        <w:t> Esta Lei entrará em vigor no prazo de 60 (sessenta) dias após a data de sua publicação, revogadas as disposições em contrário.</w:t>
      </w:r>
    </w:p>
    <w:p w:rsidR="00DD3AF8" w:rsidRPr="00C92687" w:rsidRDefault="00DD3AF8" w:rsidP="003467C1">
      <w:pPr>
        <w:jc w:val="both"/>
        <w:rPr>
          <w:rFonts w:ascii="Arial" w:hAnsi="Arial" w:cs="Arial"/>
          <w:sz w:val="20"/>
          <w:szCs w:val="20"/>
        </w:rPr>
      </w:pPr>
      <w:bookmarkStart w:id="0" w:name="_GoBack"/>
    </w:p>
    <w:bookmarkEnd w:id="0"/>
    <w:p w:rsidR="0033205E" w:rsidRPr="00D11A01" w:rsidRDefault="0033205E" w:rsidP="003467C1">
      <w:pPr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>Sala das Sessões</w:t>
      </w:r>
      <w:r w:rsidR="003467C1">
        <w:rPr>
          <w:rFonts w:ascii="Arial" w:hAnsi="Arial" w:cs="Arial"/>
        </w:rPr>
        <w:t xml:space="preserve">, </w:t>
      </w:r>
      <w:r w:rsidR="00C92687">
        <w:rPr>
          <w:rFonts w:ascii="Arial" w:hAnsi="Arial" w:cs="Arial"/>
        </w:rPr>
        <w:t>14</w:t>
      </w:r>
      <w:r w:rsidR="002517B2">
        <w:rPr>
          <w:rFonts w:ascii="Arial" w:hAnsi="Arial" w:cs="Arial"/>
        </w:rPr>
        <w:t xml:space="preserve"> de Agosto</w:t>
      </w:r>
      <w:r w:rsidR="003467C1">
        <w:rPr>
          <w:rFonts w:ascii="Arial" w:hAnsi="Arial" w:cs="Arial"/>
        </w:rPr>
        <w:t xml:space="preserve"> de 2019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6F3602" w:rsidRDefault="006F3602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242738" w:rsidRDefault="00242738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3205E" w:rsidRPr="00162664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Rogério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Lodi</w:t>
      </w:r>
      <w:proofErr w:type="spellEnd"/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         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 xml:space="preserve">Sandro Roberto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Alponte</w:t>
      </w:r>
      <w:proofErr w:type="spellEnd"/>
    </w:p>
    <w:p w:rsidR="0033205E" w:rsidRPr="00162664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242738">
        <w:rPr>
          <w:rFonts w:ascii="Arial" w:hAnsi="Arial" w:cs="Arial"/>
          <w:b/>
          <w:sz w:val="26"/>
          <w:szCs w:val="26"/>
        </w:rPr>
        <w:t xml:space="preserve">   </w:t>
      </w:r>
      <w:r w:rsidR="00D11A01"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Vereador</w:t>
      </w:r>
      <w:proofErr w:type="spellEnd"/>
    </w:p>
    <w:p w:rsidR="0054466E" w:rsidRDefault="0054466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F4B99" w:rsidRPr="00162664" w:rsidRDefault="00AF4B99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155AB" w:rsidRPr="00162664" w:rsidRDefault="00A155AB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162664" w:rsidRDefault="00D11A0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Aline Maria de Castro Santos</w:t>
      </w:r>
    </w:p>
    <w:p w:rsidR="0033205E" w:rsidRPr="00162664" w:rsidRDefault="0033205E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  <w:lang w:eastAsia="af-ZA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>a</w:t>
      </w:r>
    </w:p>
    <w:sectPr w:rsidR="0033205E" w:rsidRPr="00162664" w:rsidSect="00597CB0">
      <w:pgSz w:w="11906" w:h="16838"/>
      <w:pgMar w:top="1702" w:right="1133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8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F3"/>
    <w:rsid w:val="00011817"/>
    <w:rsid w:val="000158CF"/>
    <w:rsid w:val="00042A17"/>
    <w:rsid w:val="00126FA6"/>
    <w:rsid w:val="00132497"/>
    <w:rsid w:val="00133C65"/>
    <w:rsid w:val="00143114"/>
    <w:rsid w:val="00162664"/>
    <w:rsid w:val="0017487A"/>
    <w:rsid w:val="001775ED"/>
    <w:rsid w:val="0018763C"/>
    <w:rsid w:val="0023711E"/>
    <w:rsid w:val="00242738"/>
    <w:rsid w:val="002517B2"/>
    <w:rsid w:val="00256157"/>
    <w:rsid w:val="002B42F6"/>
    <w:rsid w:val="002E26A7"/>
    <w:rsid w:val="00315380"/>
    <w:rsid w:val="0033205E"/>
    <w:rsid w:val="00332F59"/>
    <w:rsid w:val="003467C1"/>
    <w:rsid w:val="00347CD3"/>
    <w:rsid w:val="003B39FA"/>
    <w:rsid w:val="003B71BC"/>
    <w:rsid w:val="003C6DD2"/>
    <w:rsid w:val="003E5237"/>
    <w:rsid w:val="003E5825"/>
    <w:rsid w:val="00433FD0"/>
    <w:rsid w:val="0054466E"/>
    <w:rsid w:val="00555410"/>
    <w:rsid w:val="00597CB0"/>
    <w:rsid w:val="005A64C6"/>
    <w:rsid w:val="00603536"/>
    <w:rsid w:val="006E3FC1"/>
    <w:rsid w:val="006E657C"/>
    <w:rsid w:val="006F3602"/>
    <w:rsid w:val="007072F9"/>
    <w:rsid w:val="007A4CFA"/>
    <w:rsid w:val="007D4E99"/>
    <w:rsid w:val="00802434"/>
    <w:rsid w:val="00807C4B"/>
    <w:rsid w:val="0081195E"/>
    <w:rsid w:val="008408F3"/>
    <w:rsid w:val="00891F8E"/>
    <w:rsid w:val="008C3D32"/>
    <w:rsid w:val="008F7503"/>
    <w:rsid w:val="00900554"/>
    <w:rsid w:val="0099659B"/>
    <w:rsid w:val="00A155AB"/>
    <w:rsid w:val="00AA712A"/>
    <w:rsid w:val="00AE4BF3"/>
    <w:rsid w:val="00AF4B99"/>
    <w:rsid w:val="00BB4728"/>
    <w:rsid w:val="00BB7DC3"/>
    <w:rsid w:val="00C15701"/>
    <w:rsid w:val="00C735A0"/>
    <w:rsid w:val="00C92687"/>
    <w:rsid w:val="00CA1FF2"/>
    <w:rsid w:val="00CA2157"/>
    <w:rsid w:val="00CB799F"/>
    <w:rsid w:val="00CD5540"/>
    <w:rsid w:val="00D11A01"/>
    <w:rsid w:val="00DD3AF8"/>
    <w:rsid w:val="00E23A06"/>
    <w:rsid w:val="00E2667C"/>
    <w:rsid w:val="00E85052"/>
    <w:rsid w:val="00EA2434"/>
    <w:rsid w:val="00EE3266"/>
    <w:rsid w:val="00F4052B"/>
    <w:rsid w:val="00F4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074D9-C911-43EF-A305-619605A9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paragraph" w:customStyle="1" w:styleId="western">
    <w:name w:val="western"/>
    <w:basedOn w:val="Normal"/>
    <w:rsid w:val="00132497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132497"/>
  </w:style>
  <w:style w:type="character" w:customStyle="1" w:styleId="spelle">
    <w:name w:val="spelle"/>
    <w:basedOn w:val="Fontepargpadro"/>
    <w:rsid w:val="00132497"/>
  </w:style>
  <w:style w:type="paragraph" w:styleId="Textodebalo">
    <w:name w:val="Balloon Text"/>
    <w:basedOn w:val="Normal"/>
    <w:link w:val="TextodebaloChar"/>
    <w:uiPriority w:val="99"/>
    <w:semiHidden/>
    <w:unhideWhenUsed/>
    <w:rsid w:val="00C926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68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4</cp:revision>
  <cp:lastPrinted>2019-08-14T19:45:00Z</cp:lastPrinted>
  <dcterms:created xsi:type="dcterms:W3CDTF">2019-08-14T19:40:00Z</dcterms:created>
  <dcterms:modified xsi:type="dcterms:W3CDTF">2019-08-14T19:47:00Z</dcterms:modified>
</cp:coreProperties>
</file>