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AB37CD">
        <w:rPr>
          <w:rFonts w:ascii="Arial" w:hAnsi="Arial" w:cs="Arial"/>
          <w:b/>
          <w:sz w:val="36"/>
          <w:szCs w:val="36"/>
        </w:rPr>
        <w:t>52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F76E42" w:rsidRDefault="00AB37CD" w:rsidP="004F2DA2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AB37CD">
        <w:rPr>
          <w:rFonts w:ascii="Arial" w:hAnsi="Arial" w:cs="Arial"/>
          <w:b/>
          <w:bCs/>
          <w:iCs/>
          <w:caps/>
          <w:sz w:val="28"/>
        </w:rPr>
        <w:t>Autoriza o Município e sua Autarquia - Serviço Autônomo de Água e Esgoto de Barra Bonita a não ajuizarem ações ou execuções fiscais de débitos de pequeno valor, de natureza tributária e não tributária, a desistirem ou não interporem recursos contra decisão judicial que extinguir as execuções fiscais, em razão do valor antieconômico,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82D8F" w:rsidRDefault="00A82D8F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F76E42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A CÂMARA MUNICIPAL DA ESTÂNCIA TURÍSTICA DE BARRA BONITA, em sessão ordinária realizada em </w:t>
      </w:r>
      <w:r w:rsidR="00AB37CD">
        <w:rPr>
          <w:rFonts w:ascii="Arial" w:hAnsi="Arial" w:cs="Arial"/>
        </w:rPr>
        <w:t>15 de Abril</w:t>
      </w:r>
      <w:r w:rsidR="00DD0565" w:rsidRPr="00F76E42">
        <w:rPr>
          <w:rFonts w:ascii="Arial" w:hAnsi="Arial" w:cs="Arial"/>
        </w:rPr>
        <w:t xml:space="preserve"> </w:t>
      </w:r>
      <w:r w:rsidR="001C66EF" w:rsidRPr="00F76E42">
        <w:rPr>
          <w:rFonts w:ascii="Arial" w:hAnsi="Arial" w:cs="Arial"/>
        </w:rPr>
        <w:t>de 2019</w:t>
      </w:r>
      <w:r w:rsidRPr="00F76E42">
        <w:rPr>
          <w:rFonts w:ascii="Arial" w:hAnsi="Arial" w:cs="Arial"/>
        </w:rPr>
        <w:t>, APROVOU:</w:t>
      </w:r>
      <w:bookmarkStart w:id="0" w:name="_GoBack"/>
      <w:bookmarkEnd w:id="0"/>
    </w:p>
    <w:p w:rsidR="007004D4" w:rsidRPr="00F76E42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AB37CD" w:rsidRPr="00AB37CD" w:rsidRDefault="00AB37CD" w:rsidP="00AB37CD">
      <w:pPr>
        <w:ind w:firstLine="708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bookmarkStart w:id="1" w:name="artigo_1"/>
      <w:r w:rsidRPr="00AB37CD">
        <w:rPr>
          <w:rFonts w:ascii="Arial" w:eastAsia="Calibri" w:hAnsi="Arial" w:cs="Arial"/>
          <w:b/>
          <w:color w:val="000000"/>
          <w:lang w:eastAsia="en-US"/>
        </w:rPr>
        <w:t>Art. 1º</w:t>
      </w:r>
      <w:bookmarkEnd w:id="1"/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 Fica o Município de Barra Bonita 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e sua Autarquia – </w:t>
      </w:r>
      <w:r w:rsidRPr="00AB37CD">
        <w:rPr>
          <w:rFonts w:ascii="Arial" w:eastAsia="Calibri" w:hAnsi="Arial" w:cs="Arial"/>
          <w:bCs/>
          <w:color w:val="000000"/>
          <w:lang w:eastAsia="en-US"/>
        </w:rPr>
        <w:t>Serviço Autônomo de Água e Esgoto de Barra Bonita</w:t>
      </w:r>
      <w:r w:rsidRPr="00AB37CD">
        <w:rPr>
          <w:rFonts w:ascii="Arial" w:eastAsia="Calibri" w:hAnsi="Arial" w:cs="Arial"/>
          <w:b/>
          <w:bCs/>
          <w:color w:val="000000"/>
          <w:lang w:eastAsia="en-US"/>
        </w:rPr>
        <w:t xml:space="preserve">, 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autorizados a não ajuizarem execuções fiscais, e </w:t>
      </w:r>
      <w:r w:rsidRPr="00AB37CD">
        <w:rPr>
          <w:rFonts w:ascii="Arial" w:eastAsia="Calibri" w:hAnsi="Arial" w:cs="Arial"/>
          <w:color w:val="000000"/>
          <w:lang w:eastAsia="en-US"/>
        </w:rPr>
        <w:t>desistirem ou não interporem recursos contra decisão judicial que extinguir as execuções fiscais, em razão do valor antieconômico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de débitos tributários e não tributários de valores consolidados, iguais ou inferiores a R$ 250,00 (duzentos e cinquenta reais).</w:t>
      </w:r>
    </w:p>
    <w:p w:rsidR="00AB37CD" w:rsidRPr="00AB37CD" w:rsidRDefault="00AB37CD" w:rsidP="00AB37CD">
      <w:pPr>
        <w:ind w:firstLine="1701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§ 1º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O valor consolidado a que se refere o caput deste artigo é o resultante da atualização do respectivo débito originário, mais os encargos e os acréscimos legais ou contratuais vencidos até a data da apuração.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§ 2º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Na hipótese de existência de vários débitos de um mesmo devedor inferiores ao limite fixado no caput que, somados, superarem o referido limite, deverá ser ajuizada uma única execução fiscal.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</w:p>
    <w:p w:rsidR="00AB37CD" w:rsidRPr="00AB37CD" w:rsidRDefault="00AB37CD" w:rsidP="00AB37CD">
      <w:pPr>
        <w:spacing w:after="200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 xml:space="preserve">§ 3º 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>Fica ressalvada a possibilidade de propositura de ação judicial cabível nas hipóteses de valores, consolidados ou não, inferiores ao limite estabelecido no caput deste artigo, a critério do Secretário Municipal de Assuntos Jurídicos.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 xml:space="preserve">§ 4º 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>O Valor previsto no caput deverá ser atualizado monetariamente, mediante solicitação do Secretário Municipal de Assuntos Jurídicos, ouvida a Secretaria Municipal de Finanças, sempre no mês de janeiro de cada ano, de acordo com a variação, nos 12 (doze) meses imediatamente anteriores, do Índice Nacional de Preços ao Consumidor Amplo – IPCA, apurado pelo Instituto Brasileiro de Geografia e Estatística – IBGE, ou outro índice que venha substituí-lo.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lastRenderedPageBreak/>
        <w:t>Art. 2º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Fica autorizado </w:t>
      </w:r>
      <w:proofErr w:type="gramStart"/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>a</w:t>
      </w:r>
      <w:proofErr w:type="gramEnd"/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desistência das execuções fiscais relativas aos débitos abrangidos pelo art. 1º desta Lei, independentemente do pagamento de honorários advocatícios pelo devedor.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Parágrafo único.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Na hipótese de os débitos referidos no artigo 1º desta Lei, relativos ao mesmo devedor, superarem, somados, o limite ali fixado, será ajuizada execução fiscal, observado o prazo prescricional.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 Excluem-se das disposições do art. 2º desta Lei: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>I –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 os débitos objeto de execuções fiscais embargadas, salvo se o executado manifestar em Juízo sua concordância com a extinção do feito sem quaisquer ônus para a Municipalidade de Barra Bonita;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>II –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 os débitos objeto de decisões judiciais já transitadas em julgado.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 xml:space="preserve">Art. 4º </w:t>
      </w:r>
      <w:r w:rsidRPr="00AB37CD">
        <w:rPr>
          <w:rFonts w:ascii="Arial" w:eastAsia="Calibri" w:hAnsi="Arial" w:cs="Arial"/>
          <w:color w:val="000000"/>
          <w:lang w:eastAsia="en-US"/>
        </w:rPr>
        <w:t>Não serão restituídas pelo Município e sua Autarquia Municipal, no todo ou em parte, quaisquer importâncias já recebidas anteriormente à vigência desta Lei.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ab/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 xml:space="preserve">Art. 5º </w:t>
      </w:r>
      <w:r w:rsidRPr="00AB37CD">
        <w:rPr>
          <w:rFonts w:ascii="Arial" w:eastAsia="Calibri" w:hAnsi="Arial" w:cs="Arial"/>
          <w:color w:val="000000"/>
          <w:lang w:eastAsia="en-US"/>
        </w:rPr>
        <w:t>Ficam cancelados os débitos abrangidos por esta Lei quando consumada a prescrição.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 xml:space="preserve">Art. 6º 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Os débitos tributários e não tributários de que tratam esta lei, não serão objetos das medidas extrajudiciais previstas na Lei Municipal nº. 3.226, de 21 de agosto de 2.017. 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>Art. 7º</w:t>
      </w:r>
      <w:r w:rsidRPr="00AB37CD">
        <w:rPr>
          <w:rFonts w:ascii="Arial" w:eastAsia="Calibri" w:hAnsi="Arial" w:cs="Arial"/>
          <w:color w:val="000000"/>
          <w:lang w:eastAsia="en-US"/>
        </w:rPr>
        <w:t xml:space="preserve"> A presente Lei poderá ser regulamentada por Decreto Municipal.</w:t>
      </w:r>
    </w:p>
    <w:p w:rsidR="00AB37CD" w:rsidRPr="00AB37CD" w:rsidRDefault="00AB37CD" w:rsidP="00AB37CD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EC01CF" w:rsidRPr="00F76E42" w:rsidRDefault="00AB37CD" w:rsidP="00AB37CD">
      <w:pPr>
        <w:pStyle w:val="Corpodetexto2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276" w:lineRule="auto"/>
        <w:ind w:firstLine="709"/>
        <w:jc w:val="both"/>
        <w:rPr>
          <w:rFonts w:ascii="Arial" w:hAnsi="Arial" w:cs="Arial"/>
        </w:rPr>
      </w:pPr>
      <w:r w:rsidRPr="00AB37CD">
        <w:rPr>
          <w:rFonts w:ascii="Arial" w:eastAsia="Calibri" w:hAnsi="Arial" w:cs="Arial"/>
          <w:b/>
          <w:color w:val="000000"/>
          <w:lang w:eastAsia="en-US"/>
        </w:rPr>
        <w:t xml:space="preserve">Art. 8º </w:t>
      </w:r>
      <w:r w:rsidRPr="00AB37CD">
        <w:rPr>
          <w:rFonts w:ascii="Arial" w:eastAsia="Calibri" w:hAnsi="Arial" w:cs="Arial"/>
          <w:color w:val="000000"/>
          <w:shd w:val="clear" w:color="auto" w:fill="FFFFFF"/>
          <w:lang w:eastAsia="en-US"/>
        </w:rPr>
        <w:t>Esta Lei entra em vigor na data de sua publicação.</w:t>
      </w:r>
      <w:r w:rsidR="009B30FB" w:rsidRPr="00F76E42">
        <w:rPr>
          <w:rFonts w:ascii="Arial" w:hAnsi="Arial" w:cs="Arial"/>
        </w:rPr>
        <w:t> </w:t>
      </w:r>
    </w:p>
    <w:p w:rsidR="00A82D8F" w:rsidRPr="00F76E42" w:rsidRDefault="00A82D8F" w:rsidP="00385A18">
      <w:pPr>
        <w:jc w:val="right"/>
        <w:rPr>
          <w:rFonts w:ascii="Arial" w:hAnsi="Arial" w:cs="Arial"/>
        </w:rPr>
      </w:pPr>
    </w:p>
    <w:p w:rsidR="004F2DA2" w:rsidRPr="00F76E42" w:rsidRDefault="008F519E" w:rsidP="00A82D8F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AB37CD">
        <w:rPr>
          <w:rFonts w:ascii="Arial" w:hAnsi="Arial" w:cs="Arial"/>
        </w:rPr>
        <w:t>16 de abril</w:t>
      </w:r>
      <w:r w:rsidR="001C66EF" w:rsidRPr="00F76E42">
        <w:rPr>
          <w:rFonts w:ascii="Arial" w:hAnsi="Arial" w:cs="Arial"/>
        </w:rPr>
        <w:t xml:space="preserve"> de 2019</w:t>
      </w:r>
      <w:r w:rsidRPr="00F76E42">
        <w:rPr>
          <w:rFonts w:ascii="Arial" w:hAnsi="Arial" w:cs="Arial"/>
        </w:rPr>
        <w:t>.</w:t>
      </w: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Default="00A82D8F" w:rsidP="00A82D8F">
      <w:pPr>
        <w:jc w:val="right"/>
        <w:rPr>
          <w:rFonts w:ascii="Arial" w:hAnsi="Arial" w:cs="Arial"/>
          <w:sz w:val="23"/>
          <w:szCs w:val="23"/>
        </w:rPr>
      </w:pPr>
    </w:p>
    <w:p w:rsidR="00A82D8F" w:rsidRPr="00A82D8F" w:rsidRDefault="00A82D8F" w:rsidP="00A82D8F">
      <w:pPr>
        <w:jc w:val="right"/>
        <w:rPr>
          <w:rFonts w:ascii="Arial" w:hAnsi="Arial" w:cs="Arial"/>
          <w:b/>
          <w:sz w:val="23"/>
          <w:szCs w:val="23"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4B4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6BDF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43677A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B11084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907CE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0FB4B8B"/>
    <w:multiLevelType w:val="hybridMultilevel"/>
    <w:tmpl w:val="86C24F54"/>
    <w:lvl w:ilvl="0" w:tplc="B74A151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25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7"/>
  </w:num>
  <w:num w:numId="15">
    <w:abstractNumId w:val="9"/>
  </w:num>
  <w:num w:numId="16">
    <w:abstractNumId w:val="14"/>
  </w:num>
  <w:num w:numId="17">
    <w:abstractNumId w:val="22"/>
  </w:num>
  <w:num w:numId="18">
    <w:abstractNumId w:val="11"/>
  </w:num>
  <w:num w:numId="19">
    <w:abstractNumId w:val="23"/>
  </w:num>
  <w:num w:numId="20">
    <w:abstractNumId w:val="19"/>
  </w:num>
  <w:num w:numId="21">
    <w:abstractNumId w:val="21"/>
  </w:num>
  <w:num w:numId="22">
    <w:abstractNumId w:val="16"/>
  </w:num>
  <w:num w:numId="23">
    <w:abstractNumId w:val="26"/>
  </w:num>
  <w:num w:numId="24">
    <w:abstractNumId w:val="1"/>
  </w:num>
  <w:num w:numId="25">
    <w:abstractNumId w:val="13"/>
  </w:num>
  <w:num w:numId="26">
    <w:abstractNumId w:val="8"/>
  </w:num>
  <w:num w:numId="27">
    <w:abstractNumId w:val="15"/>
  </w:num>
  <w:num w:numId="28">
    <w:abstractNumId w:val="3"/>
  </w:num>
  <w:num w:numId="29">
    <w:abstractNumId w:val="6"/>
  </w:num>
  <w:num w:numId="30">
    <w:abstractNumId w:val="24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25CE5"/>
    <w:rsid w:val="00127CA1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1F1CDD"/>
    <w:rsid w:val="00205F8C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0B7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6196A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1EC6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82D8F"/>
    <w:rsid w:val="00AA7B47"/>
    <w:rsid w:val="00AB22F0"/>
    <w:rsid w:val="00AB37CD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76E42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uiPriority w:val="99"/>
    <w:rsid w:val="00841EC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2019-04-16T12:23:00Z</cp:lastPrinted>
  <dcterms:created xsi:type="dcterms:W3CDTF">2019-04-16T12:23:00Z</dcterms:created>
  <dcterms:modified xsi:type="dcterms:W3CDTF">2019-04-16T12:23:00Z</dcterms:modified>
</cp:coreProperties>
</file>