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253DEA" w:rsidRDefault="00561DF2" w:rsidP="00613252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PROJETO DE LEI Nº </w:t>
      </w:r>
      <w:r w:rsidR="00D645C8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05</w:t>
      </w:r>
      <w:r w:rsidR="00451FB1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/201</w:t>
      </w:r>
      <w:r w:rsidR="00D645C8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9</w:t>
      </w:r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253DEA" w:rsidRDefault="008E0F58" w:rsidP="00613252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D932B8" w:rsidP="00613252">
      <w:pPr>
        <w:shd w:val="clear" w:color="auto" w:fill="FFFFFF"/>
        <w:spacing w:after="0" w:line="32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Autoriza o Poder E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xecutivo </w:t>
      </w:r>
      <w:r w:rsidR="009B7F94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 </w:t>
      </w:r>
      <w:proofErr w:type="spellStart"/>
      <w:r w:rsidR="009B7F94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desafetar</w:t>
      </w:r>
      <w:proofErr w:type="spellEnd"/>
      <w:r w:rsidR="009B7F94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e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alienar</w:t>
      </w:r>
      <w:r w:rsidR="009B7F94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os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imóveis que especifica, med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iante Licitação, na modalidade Concorrência P</w:t>
      </w:r>
      <w:r w:rsidRPr="00253DEA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ública. </w:t>
      </w:r>
    </w:p>
    <w:p w:rsidR="008430DB" w:rsidRPr="00253DEA" w:rsidRDefault="008430DB" w:rsidP="00613252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9B7F94" w:rsidRPr="00BD46B8" w:rsidRDefault="006430F7" w:rsidP="00613252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51729B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9B7F94">
        <w:rPr>
          <w:rFonts w:ascii="Tahoma" w:hAnsi="Tahoma" w:cs="Tahoma"/>
          <w:snapToGrid w:val="0"/>
          <w:sz w:val="24"/>
          <w:szCs w:val="24"/>
        </w:rPr>
        <w:t>Fica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</w:t>
      </w:r>
      <w:proofErr w:type="spellStart"/>
      <w:r w:rsidR="009B7F94" w:rsidRPr="00BD46B8">
        <w:rPr>
          <w:rFonts w:ascii="Tahoma" w:hAnsi="Tahoma" w:cs="Tahoma"/>
          <w:snapToGrid w:val="0"/>
          <w:sz w:val="24"/>
          <w:szCs w:val="24"/>
        </w:rPr>
        <w:t>desafetad</w:t>
      </w:r>
      <w:r w:rsidR="009B7F94">
        <w:rPr>
          <w:rFonts w:ascii="Tahoma" w:hAnsi="Tahoma" w:cs="Tahoma"/>
          <w:snapToGrid w:val="0"/>
          <w:sz w:val="24"/>
          <w:szCs w:val="24"/>
        </w:rPr>
        <w:t>o</w:t>
      </w:r>
      <w:proofErr w:type="spellEnd"/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da categoria de “</w:t>
      </w:r>
      <w:r w:rsidR="009B7F94">
        <w:rPr>
          <w:rFonts w:ascii="Tahoma" w:hAnsi="Tahoma" w:cs="Tahoma"/>
          <w:snapToGrid w:val="0"/>
          <w:sz w:val="24"/>
          <w:szCs w:val="24"/>
        </w:rPr>
        <w:t>SISTEMA DE RECREIO” e transferido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para a categoria de “</w:t>
      </w:r>
      <w:r w:rsidR="009B7F94">
        <w:rPr>
          <w:rFonts w:ascii="Tahoma" w:hAnsi="Tahoma" w:cs="Tahoma"/>
          <w:snapToGrid w:val="0"/>
          <w:sz w:val="24"/>
          <w:szCs w:val="24"/>
        </w:rPr>
        <w:t>BEM DOMINICAL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” 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o imóvel denominado Quadra “K-03”, localizado na Quadra “k”, do loteamento “Núcleo Habitacional de Barra Bonita”, nesta cidade, com área total de </w:t>
      </w:r>
      <w:proofErr w:type="gramStart"/>
      <w:r w:rsidR="009B7F94">
        <w:rPr>
          <w:rFonts w:ascii="Tahoma" w:hAnsi="Tahoma" w:cs="Tahoma"/>
          <w:snapToGrid w:val="0"/>
          <w:sz w:val="24"/>
          <w:szCs w:val="24"/>
        </w:rPr>
        <w:t>249,74 metro</w:t>
      </w:r>
      <w:proofErr w:type="gramEnd"/>
      <w:r w:rsidR="009B7F94">
        <w:rPr>
          <w:rFonts w:ascii="Tahoma" w:hAnsi="Tahoma" w:cs="Tahoma"/>
          <w:snapToGrid w:val="0"/>
          <w:sz w:val="24"/>
          <w:szCs w:val="24"/>
        </w:rPr>
        <w:t xml:space="preserve"> quadrados, objeto da Matrícula nº 15.353, do Cartório de Registro de Imóveis local.</w:t>
      </w:r>
    </w:p>
    <w:p w:rsidR="009B7F94" w:rsidRDefault="009B7F94" w:rsidP="00613252">
      <w:pPr>
        <w:shd w:val="clear" w:color="auto" w:fill="FFFFFF"/>
        <w:spacing w:after="0" w:line="320" w:lineRule="exact"/>
        <w:ind w:firstLine="1701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713F4C" w:rsidRDefault="00713F4C" w:rsidP="00613252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2</w:t>
      </w:r>
      <w:r w:rsidR="009B7F94" w:rsidRPr="00253D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º </w:t>
      </w:r>
      <w:r w:rsidR="009B7F94">
        <w:rPr>
          <w:rFonts w:ascii="Tahoma" w:hAnsi="Tahoma" w:cs="Tahoma"/>
          <w:snapToGrid w:val="0"/>
          <w:sz w:val="24"/>
          <w:szCs w:val="24"/>
        </w:rPr>
        <w:t>Fica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</w:t>
      </w:r>
      <w:proofErr w:type="spellStart"/>
      <w:r w:rsidR="009B7F94" w:rsidRPr="00BD46B8">
        <w:rPr>
          <w:rFonts w:ascii="Tahoma" w:hAnsi="Tahoma" w:cs="Tahoma"/>
          <w:snapToGrid w:val="0"/>
          <w:sz w:val="24"/>
          <w:szCs w:val="24"/>
        </w:rPr>
        <w:t>desafetad</w:t>
      </w:r>
      <w:r w:rsidR="009B7F94">
        <w:rPr>
          <w:rFonts w:ascii="Tahoma" w:hAnsi="Tahoma" w:cs="Tahoma"/>
          <w:snapToGrid w:val="0"/>
          <w:sz w:val="24"/>
          <w:szCs w:val="24"/>
        </w:rPr>
        <w:t>o</w:t>
      </w:r>
      <w:proofErr w:type="spellEnd"/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da categoria de “</w:t>
      </w:r>
      <w:r w:rsidR="009B7F94">
        <w:rPr>
          <w:rFonts w:ascii="Tahoma" w:hAnsi="Tahoma" w:cs="Tahoma"/>
          <w:snapToGrid w:val="0"/>
          <w:sz w:val="24"/>
          <w:szCs w:val="24"/>
        </w:rPr>
        <w:t>SISTEMA DE LAZER” e transferido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 para a categoria de “</w:t>
      </w:r>
      <w:r w:rsidR="009B7F94">
        <w:rPr>
          <w:rFonts w:ascii="Tahoma" w:hAnsi="Tahoma" w:cs="Tahoma"/>
          <w:snapToGrid w:val="0"/>
          <w:sz w:val="24"/>
          <w:szCs w:val="24"/>
        </w:rPr>
        <w:t>BEM DOMINICAL</w:t>
      </w:r>
      <w:r w:rsidR="009B7F94" w:rsidRPr="00BD46B8">
        <w:rPr>
          <w:rFonts w:ascii="Tahoma" w:hAnsi="Tahoma" w:cs="Tahoma"/>
          <w:snapToGrid w:val="0"/>
          <w:sz w:val="24"/>
          <w:szCs w:val="24"/>
        </w:rPr>
        <w:t xml:space="preserve">” 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o imóvel localizado na </w:t>
      </w:r>
      <w:r>
        <w:rPr>
          <w:rFonts w:ascii="Tahoma" w:hAnsi="Tahoma" w:cs="Tahoma"/>
          <w:snapToGrid w:val="0"/>
          <w:sz w:val="24"/>
          <w:szCs w:val="24"/>
        </w:rPr>
        <w:t>Quadra “B”,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 do loteamento </w:t>
      </w:r>
      <w:r>
        <w:rPr>
          <w:rFonts w:ascii="Tahoma" w:hAnsi="Tahoma" w:cs="Tahoma"/>
          <w:snapToGrid w:val="0"/>
          <w:sz w:val="24"/>
          <w:szCs w:val="24"/>
        </w:rPr>
        <w:t>denominado “Vila Boca Rica”, n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esta cidade, com área total de </w:t>
      </w:r>
      <w:proofErr w:type="gramStart"/>
      <w:r>
        <w:rPr>
          <w:rFonts w:ascii="Tahoma" w:hAnsi="Tahoma" w:cs="Tahoma"/>
          <w:snapToGrid w:val="0"/>
          <w:sz w:val="24"/>
          <w:szCs w:val="24"/>
        </w:rPr>
        <w:t>181,53</w:t>
      </w:r>
      <w:r w:rsidR="009B7F94">
        <w:rPr>
          <w:rFonts w:ascii="Tahoma" w:hAnsi="Tahoma" w:cs="Tahoma"/>
          <w:snapToGrid w:val="0"/>
          <w:sz w:val="24"/>
          <w:szCs w:val="24"/>
        </w:rPr>
        <w:t xml:space="preserve"> metro</w:t>
      </w:r>
      <w:proofErr w:type="gramEnd"/>
      <w:r w:rsidR="009B7F94">
        <w:rPr>
          <w:rFonts w:ascii="Tahoma" w:hAnsi="Tahoma" w:cs="Tahoma"/>
          <w:snapToGrid w:val="0"/>
          <w:sz w:val="24"/>
          <w:szCs w:val="24"/>
        </w:rPr>
        <w:t xml:space="preserve"> quadrados, objeto da Matrícula nº </w:t>
      </w:r>
      <w:r>
        <w:rPr>
          <w:rFonts w:ascii="Tahoma" w:hAnsi="Tahoma" w:cs="Tahoma"/>
          <w:snapToGrid w:val="0"/>
          <w:sz w:val="24"/>
          <w:szCs w:val="24"/>
        </w:rPr>
        <w:t>30.618</w:t>
      </w:r>
      <w:r w:rsidR="009B7F94">
        <w:rPr>
          <w:rFonts w:ascii="Tahoma" w:hAnsi="Tahoma" w:cs="Tahoma"/>
          <w:snapToGrid w:val="0"/>
          <w:sz w:val="24"/>
          <w:szCs w:val="24"/>
        </w:rPr>
        <w:t>, do Cartório de Registro de Imóveis local.</w:t>
      </w:r>
    </w:p>
    <w:p w:rsidR="00613252" w:rsidRDefault="00613252" w:rsidP="00613252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410A60" w:rsidRDefault="00713F4C" w:rsidP="00613252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713F4C">
        <w:rPr>
          <w:rFonts w:ascii="Tahoma" w:hAnsi="Tahoma" w:cs="Tahoma"/>
          <w:b/>
          <w:snapToGrid w:val="0"/>
          <w:sz w:val="24"/>
          <w:szCs w:val="24"/>
        </w:rPr>
        <w:t>Art. 3º</w:t>
      </w:r>
      <w:r>
        <w:rPr>
          <w:rFonts w:ascii="Tahoma" w:hAnsi="Tahoma" w:cs="Tahoma"/>
          <w:snapToGrid w:val="0"/>
          <w:sz w:val="24"/>
          <w:szCs w:val="24"/>
        </w:rPr>
        <w:t xml:space="preserve"> </w:t>
      </w:r>
      <w:r w:rsidR="006430F7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</w:t>
      </w:r>
      <w:r w:rsidR="00A218D4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nos termos do art. 100, inciso I, da Lei Orgânica do Município e do art. 17, inciso II, da Lei Federal nº 8.666/1993,</w:t>
      </w:r>
      <w:r w:rsidR="006430F7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 </w:t>
      </w:r>
      <w:r w:rsidR="00A95179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alienar, mediante Licitação, na modalidad</w:t>
      </w:r>
      <w:r w:rsidR="00451FB1" w:rsidRPr="00253DEA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e Concorrência Pública, os imóveis </w:t>
      </w:r>
      <w:r w:rsidR="0061325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descritos nos </w:t>
      </w:r>
      <w:proofErr w:type="gramStart"/>
      <w:r w:rsidR="0061325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artigos 1º e 2º desta Lei</w:t>
      </w:r>
      <w:proofErr w:type="gramEnd"/>
      <w:r w:rsidR="00613252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.</w:t>
      </w:r>
    </w:p>
    <w:p w:rsidR="00613252" w:rsidRPr="00613252" w:rsidRDefault="00613252" w:rsidP="00613252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6430F7" w:rsidRDefault="00A218D4" w:rsidP="00613252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b/>
          <w:sz w:val="24"/>
          <w:szCs w:val="24"/>
        </w:rPr>
        <w:t>Parágrafo único</w:t>
      </w:r>
      <w:r w:rsidR="00451FB1" w:rsidRPr="00253DEA">
        <w:rPr>
          <w:rFonts w:ascii="Tahoma" w:hAnsi="Tahoma" w:cs="Tahoma"/>
          <w:b/>
          <w:sz w:val="24"/>
          <w:szCs w:val="24"/>
        </w:rPr>
        <w:t>.</w:t>
      </w:r>
      <w:r w:rsidR="0006543D" w:rsidRPr="00253DEA">
        <w:rPr>
          <w:rFonts w:ascii="Tahoma" w:hAnsi="Tahoma" w:cs="Tahoma"/>
          <w:sz w:val="24"/>
          <w:szCs w:val="24"/>
        </w:rPr>
        <w:t xml:space="preserve"> </w:t>
      </w:r>
      <w:r w:rsidR="0051729B" w:rsidRPr="00253DEA">
        <w:rPr>
          <w:rFonts w:ascii="Tahoma" w:hAnsi="Tahoma" w:cs="Tahoma"/>
          <w:sz w:val="24"/>
          <w:szCs w:val="24"/>
        </w:rPr>
        <w:t>A Concorrência Púb</w:t>
      </w:r>
      <w:r w:rsidR="006317BB" w:rsidRPr="00253DEA">
        <w:rPr>
          <w:rFonts w:ascii="Tahoma" w:hAnsi="Tahoma" w:cs="Tahoma"/>
          <w:sz w:val="24"/>
          <w:szCs w:val="24"/>
        </w:rPr>
        <w:t>lica</w:t>
      </w:r>
      <w:r w:rsidR="0051729B" w:rsidRPr="00253DEA">
        <w:rPr>
          <w:rFonts w:ascii="Tahoma" w:hAnsi="Tahoma" w:cs="Tahoma"/>
          <w:sz w:val="24"/>
          <w:szCs w:val="24"/>
        </w:rPr>
        <w:t xml:space="preserve"> mencionada</w:t>
      </w:r>
      <w:r w:rsidR="006317BB" w:rsidRPr="00253DEA">
        <w:rPr>
          <w:rFonts w:ascii="Tahoma" w:hAnsi="Tahoma" w:cs="Tahoma"/>
          <w:sz w:val="24"/>
          <w:szCs w:val="24"/>
        </w:rPr>
        <w:t xml:space="preserve"> no caput</w:t>
      </w:r>
      <w:r w:rsidR="0006543D" w:rsidRPr="00253DEA">
        <w:rPr>
          <w:rFonts w:ascii="Tahoma" w:hAnsi="Tahoma" w:cs="Tahoma"/>
          <w:sz w:val="24"/>
          <w:szCs w:val="24"/>
        </w:rPr>
        <w:t xml:space="preserve"> </w:t>
      </w:r>
      <w:r w:rsidR="0085431D" w:rsidRPr="00253DEA">
        <w:rPr>
          <w:rFonts w:ascii="Tahoma" w:hAnsi="Tahoma" w:cs="Tahoma"/>
          <w:sz w:val="24"/>
          <w:szCs w:val="24"/>
        </w:rPr>
        <w:t>deste artigo será por</w:t>
      </w:r>
      <w:r w:rsidR="0006543D" w:rsidRPr="00253DEA">
        <w:rPr>
          <w:rFonts w:ascii="Tahoma" w:hAnsi="Tahoma" w:cs="Tahoma"/>
          <w:sz w:val="24"/>
          <w:szCs w:val="24"/>
        </w:rPr>
        <w:t xml:space="preserve"> melhor preço</w:t>
      </w:r>
      <w:r w:rsidR="006317BB" w:rsidRPr="00253DEA">
        <w:rPr>
          <w:rFonts w:ascii="Tahoma" w:hAnsi="Tahoma" w:cs="Tahoma"/>
          <w:sz w:val="24"/>
          <w:szCs w:val="24"/>
        </w:rPr>
        <w:t xml:space="preserve">, respeitando o valor mínimo disposto </w:t>
      </w:r>
      <w:r w:rsidR="00325AC4" w:rsidRPr="00253DEA">
        <w:rPr>
          <w:rFonts w:ascii="Tahoma" w:hAnsi="Tahoma" w:cs="Tahoma"/>
          <w:sz w:val="24"/>
          <w:szCs w:val="24"/>
        </w:rPr>
        <w:t>em</w:t>
      </w:r>
      <w:r w:rsidR="006317BB" w:rsidRPr="00253DEA">
        <w:rPr>
          <w:rFonts w:ascii="Tahoma" w:hAnsi="Tahoma" w:cs="Tahoma"/>
          <w:sz w:val="24"/>
          <w:szCs w:val="24"/>
        </w:rPr>
        <w:t xml:space="preserve"> Avaliação Prévia</w:t>
      </w:r>
      <w:r w:rsidRPr="00253DEA">
        <w:rPr>
          <w:rFonts w:ascii="Tahoma" w:hAnsi="Tahoma" w:cs="Tahoma"/>
          <w:sz w:val="24"/>
          <w:szCs w:val="24"/>
        </w:rPr>
        <w:t>.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D932B8" w:rsidRPr="00253DEA" w:rsidRDefault="00D932B8" w:rsidP="00613252">
      <w:pPr>
        <w:spacing w:after="0" w:line="320" w:lineRule="exact"/>
        <w:ind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253DEA" w:rsidRDefault="00613252" w:rsidP="0061325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>Art. 4</w:t>
      </w:r>
      <w:r w:rsidR="0051729B" w:rsidRPr="00253DEA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430F7" w:rsidRPr="00253DEA">
        <w:rPr>
          <w:rFonts w:ascii="Tahoma" w:eastAsia="Times New Roman" w:hAnsi="Tahoma" w:cs="Tahoma"/>
          <w:sz w:val="24"/>
          <w:szCs w:val="24"/>
          <w:lang w:eastAsia="pt-BR"/>
        </w:rPr>
        <w:t>Esta Lei entra em vigor na data de sua publicação.</w:t>
      </w:r>
    </w:p>
    <w:p w:rsidR="006430F7" w:rsidRPr="00253DEA" w:rsidRDefault="006430F7" w:rsidP="00613252">
      <w:pPr>
        <w:spacing w:after="0" w:line="32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8430D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430DB" w:rsidRPr="00253DEA" w:rsidRDefault="007F004E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D645C8">
        <w:rPr>
          <w:rFonts w:ascii="Tahoma" w:eastAsia="Times New Roman" w:hAnsi="Tahoma" w:cs="Tahoma"/>
          <w:sz w:val="24"/>
          <w:szCs w:val="24"/>
          <w:lang w:eastAsia="pt-BR"/>
        </w:rPr>
        <w:t>15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D645C8">
        <w:rPr>
          <w:rFonts w:ascii="Tahoma" w:eastAsia="Times New Roman" w:hAnsi="Tahoma" w:cs="Tahoma"/>
          <w:sz w:val="24"/>
          <w:szCs w:val="24"/>
          <w:lang w:eastAsia="pt-BR"/>
        </w:rPr>
        <w:t>fevereiro</w:t>
      </w:r>
      <w:r w:rsidR="00075E52" w:rsidRPr="00253DEA">
        <w:rPr>
          <w:rFonts w:ascii="Tahoma" w:eastAsia="Times New Roman" w:hAnsi="Tahoma" w:cs="Tahoma"/>
          <w:sz w:val="24"/>
          <w:szCs w:val="24"/>
          <w:lang w:eastAsia="pt-BR"/>
        </w:rPr>
        <w:t xml:space="preserve"> d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e 201</w:t>
      </w:r>
      <w:r w:rsidR="00D645C8">
        <w:rPr>
          <w:rFonts w:ascii="Tahoma" w:eastAsia="Times New Roman" w:hAnsi="Tahoma" w:cs="Tahoma"/>
          <w:sz w:val="24"/>
          <w:szCs w:val="24"/>
          <w:lang w:eastAsia="pt-BR"/>
        </w:rPr>
        <w:t>9</w:t>
      </w:r>
      <w:r w:rsidR="000F0A71" w:rsidRPr="00253DEA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8C47F6" w:rsidRPr="00253DEA" w:rsidRDefault="008C47F6" w:rsidP="00613252">
      <w:pPr>
        <w:pStyle w:val="Ttulo2"/>
        <w:spacing w:before="0" w:beforeAutospacing="0" w:after="0" w:afterAutospacing="0" w:line="320" w:lineRule="exact"/>
        <w:ind w:left="4248"/>
        <w:jc w:val="both"/>
        <w:rPr>
          <w:rFonts w:ascii="Tahoma" w:hAnsi="Tahoma" w:cs="Tahoma"/>
          <w:sz w:val="24"/>
          <w:szCs w:val="24"/>
        </w:rPr>
      </w:pPr>
      <w:r w:rsidRPr="00253DEA">
        <w:rPr>
          <w:rFonts w:ascii="Tahoma" w:hAnsi="Tahoma" w:cs="Tahoma"/>
          <w:sz w:val="24"/>
          <w:szCs w:val="24"/>
        </w:rPr>
        <w:t xml:space="preserve">JOSÉ LUIS RICI </w:t>
      </w:r>
    </w:p>
    <w:p w:rsidR="000F0A71" w:rsidRPr="00253DEA" w:rsidRDefault="008C47F6" w:rsidP="00613252">
      <w:pPr>
        <w:spacing w:after="0" w:line="320" w:lineRule="exact"/>
        <w:ind w:left="4248"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253DEA">
        <w:rPr>
          <w:rFonts w:ascii="Tahoma" w:hAnsi="Tahoma" w:cs="Tahoma"/>
          <w:snapToGrid w:val="0"/>
          <w:sz w:val="24"/>
          <w:szCs w:val="24"/>
        </w:rPr>
        <w:t>Prefeito Municipal</w:t>
      </w:r>
    </w:p>
    <w:p w:rsidR="000F0A71" w:rsidRPr="00253DEA" w:rsidRDefault="000F0A71" w:rsidP="00613252">
      <w:pPr>
        <w:spacing w:after="0" w:line="32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8430DB" w:rsidRPr="00253DEA" w:rsidRDefault="008430D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D06F6B" w:rsidRPr="00253DEA" w:rsidRDefault="00D06F6B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75E52" w:rsidRPr="00253DEA" w:rsidRDefault="00075E52" w:rsidP="00613252">
      <w:pPr>
        <w:spacing w:after="0" w:line="320" w:lineRule="exact"/>
        <w:ind w:right="14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CA2146" w:rsidRDefault="0062636D" w:rsidP="00D645C8">
      <w:pPr>
        <w:spacing w:after="0" w:line="30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 w:rsidRPr="00CA2146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D645C8">
        <w:rPr>
          <w:rFonts w:ascii="Bookman Old Style" w:hAnsi="Bookman Old Style" w:cs="Tahoma"/>
          <w:b/>
          <w:snapToGrid w:val="0"/>
          <w:sz w:val="24"/>
          <w:szCs w:val="24"/>
        </w:rPr>
        <w:t xml:space="preserve"> 49</w:t>
      </w:r>
      <w:r w:rsidR="00D932B8" w:rsidRPr="00CA2146">
        <w:rPr>
          <w:rFonts w:ascii="Bookman Old Style" w:hAnsi="Bookman Old Style" w:cs="Tahoma"/>
          <w:b/>
          <w:snapToGrid w:val="0"/>
          <w:sz w:val="24"/>
          <w:szCs w:val="24"/>
        </w:rPr>
        <w:t>/201</w:t>
      </w:r>
      <w:r w:rsidR="00D645C8">
        <w:rPr>
          <w:rFonts w:ascii="Bookman Old Style" w:hAnsi="Bookman Old Style" w:cs="Tahoma"/>
          <w:b/>
          <w:snapToGrid w:val="0"/>
          <w:sz w:val="24"/>
          <w:szCs w:val="24"/>
        </w:rPr>
        <w:t>9</w:t>
      </w:r>
      <w:r w:rsidRPr="00CA2146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62636D" w:rsidRDefault="0062636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D16BD" w:rsidRPr="00CA2146" w:rsidRDefault="009D16B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92315A" w:rsidP="00D645C8">
      <w:pPr>
        <w:spacing w:after="0" w:line="30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  <w:t xml:space="preserve">   </w:t>
      </w:r>
      <w:r w:rsidR="00CA2146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E35729">
        <w:rPr>
          <w:rFonts w:ascii="Bookman Old Style" w:hAnsi="Bookman Old Style" w:cs="Tahoma"/>
          <w:snapToGrid w:val="0"/>
          <w:sz w:val="24"/>
          <w:szCs w:val="24"/>
        </w:rPr>
        <w:t xml:space="preserve">Barra </w:t>
      </w:r>
      <w:r w:rsidR="007F004E">
        <w:rPr>
          <w:rFonts w:ascii="Bookman Old Style" w:hAnsi="Bookman Old Style" w:cs="Tahoma"/>
          <w:snapToGrid w:val="0"/>
          <w:sz w:val="24"/>
          <w:szCs w:val="24"/>
        </w:rPr>
        <w:t xml:space="preserve">Bonita, </w:t>
      </w:r>
      <w:r w:rsidR="00D645C8">
        <w:rPr>
          <w:rFonts w:ascii="Bookman Old Style" w:hAnsi="Bookman Old Style" w:cs="Tahoma"/>
          <w:snapToGrid w:val="0"/>
          <w:sz w:val="24"/>
          <w:szCs w:val="24"/>
        </w:rPr>
        <w:t>15</w:t>
      </w:r>
      <w:r w:rsidR="0062636D" w:rsidRPr="00CA2146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D645C8">
        <w:rPr>
          <w:rFonts w:ascii="Bookman Old Style" w:hAnsi="Bookman Old Style" w:cs="Tahoma"/>
          <w:snapToGrid w:val="0"/>
          <w:sz w:val="24"/>
          <w:szCs w:val="24"/>
        </w:rPr>
        <w:t>fevereiro de 2019</w:t>
      </w:r>
      <w:r w:rsidR="0062636D" w:rsidRPr="00CA2146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9D16BD" w:rsidRDefault="009D16B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EA4610" w:rsidRPr="00CA2146" w:rsidRDefault="00EA4610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2636D" w:rsidRDefault="0062636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D16BD" w:rsidRPr="00CA2146" w:rsidRDefault="009D16B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561DF2" w:rsidRPr="00CA2146" w:rsidRDefault="00561DF2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906481" w:rsidRPr="00CA2146" w:rsidRDefault="0062636D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D645C8">
        <w:rPr>
          <w:rFonts w:ascii="Bookman Old Style" w:hAnsi="Bookman Old Style" w:cs="Tahoma"/>
          <w:snapToGrid w:val="0"/>
          <w:sz w:val="24"/>
          <w:szCs w:val="24"/>
        </w:rPr>
        <w:t>05</w:t>
      </w:r>
      <w:r w:rsidR="00D932B8" w:rsidRPr="00CA2146">
        <w:rPr>
          <w:rFonts w:ascii="Bookman Old Style" w:hAnsi="Bookman Old Style" w:cs="Tahoma"/>
          <w:snapToGrid w:val="0"/>
          <w:sz w:val="24"/>
          <w:szCs w:val="24"/>
        </w:rPr>
        <w:t>/201</w:t>
      </w:r>
      <w:r w:rsidR="00D645C8">
        <w:rPr>
          <w:rFonts w:ascii="Bookman Old Style" w:hAnsi="Bookman Old Style" w:cs="Tahoma"/>
          <w:snapToGrid w:val="0"/>
          <w:sz w:val="24"/>
          <w:szCs w:val="24"/>
        </w:rPr>
        <w:t>9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906481" w:rsidRPr="00CA2146">
        <w:rPr>
          <w:rFonts w:ascii="Bookman Old Style" w:hAnsi="Bookman Old Style" w:cs="Tahoma"/>
          <w:snapToGrid w:val="0"/>
          <w:sz w:val="24"/>
          <w:szCs w:val="24"/>
        </w:rPr>
        <w:t>a</w:t>
      </w:r>
      <w:r w:rsidR="00906481" w:rsidRPr="00CA2146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utoriza o Poder Executivo a</w:t>
      </w:r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</w:t>
      </w:r>
      <w:proofErr w:type="spellStart"/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desafetar</w:t>
      </w:r>
      <w:proofErr w:type="spellEnd"/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e</w:t>
      </w:r>
      <w:r w:rsidR="00906481" w:rsidRPr="00CA2146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alienar imóveis, mediante Licitação, na modalidade Concorrência Pública.</w:t>
      </w:r>
    </w:p>
    <w:p w:rsidR="00906481" w:rsidRPr="00CA2146" w:rsidRDefault="00906481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O presente projeto de lei autoriza o Município a </w:t>
      </w:r>
      <w:proofErr w:type="spellStart"/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desafetar</w:t>
      </w:r>
      <w:proofErr w:type="spellEnd"/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os imóveis objetos das Matrículas </w:t>
      </w:r>
      <w:proofErr w:type="spellStart"/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nºs</w:t>
      </w:r>
      <w:proofErr w:type="spellEnd"/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15.353 e 30.618, do CRI local para a categoria “BEM DOMINICAL” e aliená-los,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mediante licitação, </w:t>
      </w:r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na modalidade Concorrência Pública.</w:t>
      </w: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Conforme Parecer Jurídico da Secretaria Municipal de Assuntos Jurídicos, a alienação de </w:t>
      </w:r>
      <w:r w:rsidRPr="000C743F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bens dominiais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ou dominicais é permitida pelo artigo 101 do Código Civil, que estabelece que </w:t>
      </w:r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“Os bens públicos dominicais podem ser </w:t>
      </w:r>
      <w:proofErr w:type="gramStart"/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>alienados, observadas</w:t>
      </w:r>
      <w:proofErr w:type="gramEnd"/>
      <w:r w:rsidRPr="00CA2146"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 as exigências da lei.”</w:t>
      </w:r>
      <w:r>
        <w:rPr>
          <w:rFonts w:ascii="Bookman Old Style" w:eastAsia="Times New Roman" w:hAnsi="Bookman Old Style" w:cs="Tahoma"/>
          <w:bCs/>
          <w:i/>
          <w:kern w:val="36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Trouxe a respeito do assunto o ensinamento do jurista LOPES MEIRELLES, que ensina que os </w:t>
      </w:r>
      <w:r w:rsidRPr="000C743F">
        <w:rPr>
          <w:rFonts w:ascii="Bookman Old Style" w:eastAsia="Times New Roman" w:hAnsi="Bookman Old Style" w:cs="Tahoma"/>
          <w:b/>
          <w:bCs/>
          <w:kern w:val="36"/>
          <w:sz w:val="24"/>
          <w:szCs w:val="24"/>
          <w:lang w:eastAsia="pt-BR"/>
        </w:rPr>
        <w:t>bens dominiais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“são os que, embora integrado o domínio público como os demais, deles diferem pela possibilidade sempre presente de serem utilizados em qualquer fim ou, mesmo, </w:t>
      </w:r>
      <w:r w:rsidRPr="00CA2146">
        <w:rPr>
          <w:rFonts w:ascii="Bookman Old Style" w:eastAsia="Times New Roman" w:hAnsi="Bookman Old Style" w:cs="Tahoma"/>
          <w:b/>
          <w:bCs/>
          <w:kern w:val="36"/>
          <w:sz w:val="24"/>
          <w:szCs w:val="24"/>
          <w:lang w:eastAsia="pt-BR"/>
        </w:rPr>
        <w:t>alienação e consumidos nos serviços da própria Administração.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” (Direito Municipal Brasileiro, 14ª edição, p. 302) (Negritamos)</w:t>
      </w:r>
    </w:p>
    <w:p w:rsidR="00CA2146" w:rsidRP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As exigências da lei referidas no artigo 101 do Código Civil podem ser extraídas do artigo 100 da Lei Orgânica do Município:</w:t>
      </w: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D645C8">
      <w:pPr>
        <w:spacing w:after="0" w:line="30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Art. 100 – A alienação de bens Municipais, </w:t>
      </w:r>
      <w:proofErr w:type="gramStart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subordinadas</w:t>
      </w:r>
      <w:proofErr w:type="gramEnd"/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à exigência de interesse público devidamente justiçado, ser sempre precedida de avaliação e obedecerá as seguintes normas:</w:t>
      </w:r>
    </w:p>
    <w:p w:rsidR="00CA2146" w:rsidRDefault="00CA2146" w:rsidP="00D645C8">
      <w:pPr>
        <w:spacing w:after="0" w:line="30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D645C8">
      <w:pPr>
        <w:spacing w:after="0" w:line="300" w:lineRule="exact"/>
        <w:ind w:left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I – quando imóveis, dependerá de autorização Legislativa e concorrência pública dispensa esta nos casos de doação e permuta.</w:t>
      </w: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A2146" w:rsidRDefault="00CA2146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lastRenderedPageBreak/>
        <w:t xml:space="preserve">O interesse público está presente, uma vez que o Município utilizará os recursos oriundos da alienação dos </w:t>
      </w:r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dois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imóveis n</w:t>
      </w:r>
      <w:r w:rsidR="00136A35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a </w:t>
      </w:r>
      <w:r w:rsidR="009D16BD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implantação de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um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novo cemitério</w:t>
      </w:r>
      <w:r w:rsidR="009D16BD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e realização de obras de infraestrutura urbana em diversos locais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, uma vez que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 único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cemitério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do Município </w:t>
      </w:r>
      <w:r w:rsidR="001C6E60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está com sua capacidade esgotada, fatos objeto de inquérito civil instaurado pelo Ministério Público do Estado de São Paulo. Muito embora o Município já disponha de área licenciada previamente pelo CETESB para implantação do novo Cemitério, não há recursos próprios para as obras de infraestrutura.</w:t>
      </w:r>
    </w:p>
    <w:p w:rsidR="000C743F" w:rsidRDefault="000C743F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Dessa forma, como os </w:t>
      </w:r>
      <w:r w:rsidR="0092315A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dois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imóveis encontram-se sem nenhuma utilização, melhor atende o interesse público a alienação, a fim de que os recursos obtidos com a venda sejam aplicados </w:t>
      </w:r>
      <w:r w:rsidR="00E6004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na implantação </w:t>
      </w:r>
      <w:r w:rsidR="00D645C8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do novo cemitério, isto porque, por serem de dimensões diminutas são inviáveis para instalação de sistema de lazer nos locais.</w:t>
      </w:r>
    </w:p>
    <w:p w:rsidR="002A74E5" w:rsidRDefault="002A74E5" w:rsidP="00D645C8">
      <w:pPr>
        <w:spacing w:after="0" w:line="300" w:lineRule="exact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0C743F" w:rsidRDefault="000C743F" w:rsidP="00D645C8">
      <w:pPr>
        <w:spacing w:after="0" w:line="30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A exigência de avaliação prévia foi atendida.</w:t>
      </w:r>
    </w:p>
    <w:p w:rsidR="00561DF2" w:rsidRPr="00CA2146" w:rsidRDefault="00561DF2" w:rsidP="00D645C8">
      <w:pPr>
        <w:spacing w:after="0" w:line="30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62636D" w:rsidRPr="00CA2146" w:rsidRDefault="0062636D" w:rsidP="00D645C8">
      <w:pPr>
        <w:spacing w:after="0" w:line="300" w:lineRule="exact"/>
        <w:jc w:val="both"/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="00D645C8">
        <w:rPr>
          <w:rFonts w:ascii="Bookman Old Style" w:hAnsi="Bookman Old Style" w:cs="Tahoma"/>
          <w:color w:val="000000"/>
          <w:sz w:val="24"/>
          <w:szCs w:val="24"/>
        </w:rPr>
        <w:t>.</w:t>
      </w:r>
    </w:p>
    <w:p w:rsidR="0062636D" w:rsidRPr="00CA2146" w:rsidRDefault="0062636D" w:rsidP="00D645C8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D645C8">
      <w:pPr>
        <w:pStyle w:val="Corpodetexto2"/>
        <w:spacing w:after="0" w:line="300" w:lineRule="exact"/>
        <w:rPr>
          <w:rFonts w:ascii="Bookman Old Style" w:hAnsi="Bookman Old Style" w:cs="Tahoma"/>
          <w:bCs/>
          <w:snapToGrid w:val="0"/>
        </w:rPr>
      </w:pPr>
      <w:r w:rsidRPr="00CA2146">
        <w:rPr>
          <w:rFonts w:ascii="Bookman Old Style" w:hAnsi="Bookman Old Style" w:cs="Tahoma"/>
          <w:bCs/>
          <w:snapToGrid w:val="0"/>
        </w:rPr>
        <w:tab/>
      </w:r>
      <w:r w:rsidRPr="00CA2146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</w:t>
      </w:r>
      <w:proofErr w:type="gramStart"/>
      <w:r w:rsidRPr="00CA2146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CA2146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CA2146" w:rsidRDefault="0062636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8E0F58" w:rsidRDefault="008E0F58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F004E" w:rsidRDefault="007F004E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645C8" w:rsidRDefault="00D645C8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D645C8" w:rsidRPr="00CA2146" w:rsidRDefault="00D645C8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62636D" w:rsidP="00D645C8">
      <w:pPr>
        <w:spacing w:after="0" w:line="30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CA2146" w:rsidP="00D645C8">
      <w:pPr>
        <w:pStyle w:val="Ttulo2"/>
        <w:spacing w:before="0" w:beforeAutospacing="0" w:after="0" w:afterAutospacing="0" w:line="30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LUIS RICI</w:t>
      </w:r>
    </w:p>
    <w:p w:rsidR="0062636D" w:rsidRPr="00CA2146" w:rsidRDefault="0062636D" w:rsidP="00D645C8">
      <w:pPr>
        <w:spacing w:after="0" w:line="30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62636D" w:rsidRDefault="0062636D" w:rsidP="00D645C8">
      <w:pPr>
        <w:spacing w:after="0" w:line="30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D645C8" w:rsidRDefault="00D645C8" w:rsidP="00D645C8">
      <w:pPr>
        <w:spacing w:after="0" w:line="30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D645C8" w:rsidRDefault="00D645C8" w:rsidP="00D645C8">
      <w:pPr>
        <w:spacing w:after="0" w:line="30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D645C8" w:rsidRDefault="00D645C8" w:rsidP="00D645C8">
      <w:pPr>
        <w:spacing w:after="0" w:line="30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D645C8" w:rsidRPr="00CA2146" w:rsidRDefault="00D645C8" w:rsidP="00D645C8">
      <w:pPr>
        <w:spacing w:after="0" w:line="30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7F004E" w:rsidRDefault="007F004E" w:rsidP="00D645C8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CA2146" w:rsidRDefault="00E60043" w:rsidP="00D645C8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CA2146" w:rsidRDefault="00D645C8" w:rsidP="00D645C8">
      <w:pPr>
        <w:pStyle w:val="Ttulo1"/>
        <w:spacing w:before="0" w:beforeAutospacing="0" w:after="0" w:afterAutospacing="0" w:line="300" w:lineRule="exac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CLAUDECIR PASCHOAL</w:t>
      </w:r>
    </w:p>
    <w:p w:rsidR="00561DF2" w:rsidRPr="00CA2146" w:rsidRDefault="0062636D" w:rsidP="00D645C8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D645C8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FC6F7E" w:rsidRPr="00F224D3" w:rsidRDefault="0062636D" w:rsidP="00D645C8">
      <w:pPr>
        <w:spacing w:after="0" w:line="30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2146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CA2146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CA2146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FC6F7E" w:rsidRPr="00F224D3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75E52"/>
    <w:rsid w:val="000817AC"/>
    <w:rsid w:val="000C743F"/>
    <w:rsid w:val="000F0A71"/>
    <w:rsid w:val="00136A35"/>
    <w:rsid w:val="001501DA"/>
    <w:rsid w:val="0017430B"/>
    <w:rsid w:val="001C24B7"/>
    <w:rsid w:val="001C6E60"/>
    <w:rsid w:val="001E61F7"/>
    <w:rsid w:val="001F4814"/>
    <w:rsid w:val="00253DEA"/>
    <w:rsid w:val="00297DCC"/>
    <w:rsid w:val="002A74E5"/>
    <w:rsid w:val="002B20AB"/>
    <w:rsid w:val="002B28F8"/>
    <w:rsid w:val="002B6E2E"/>
    <w:rsid w:val="002F38C3"/>
    <w:rsid w:val="0030523B"/>
    <w:rsid w:val="00325AC4"/>
    <w:rsid w:val="003634B7"/>
    <w:rsid w:val="00386FD6"/>
    <w:rsid w:val="003C6AD5"/>
    <w:rsid w:val="003D328C"/>
    <w:rsid w:val="00410A60"/>
    <w:rsid w:val="00410C53"/>
    <w:rsid w:val="00451FB1"/>
    <w:rsid w:val="00487ECA"/>
    <w:rsid w:val="004F4A27"/>
    <w:rsid w:val="0051729B"/>
    <w:rsid w:val="00532DD9"/>
    <w:rsid w:val="00535003"/>
    <w:rsid w:val="00540645"/>
    <w:rsid w:val="00545C14"/>
    <w:rsid w:val="00561DF2"/>
    <w:rsid w:val="00574A0E"/>
    <w:rsid w:val="005A100E"/>
    <w:rsid w:val="00613252"/>
    <w:rsid w:val="0062636D"/>
    <w:rsid w:val="006317BB"/>
    <w:rsid w:val="006430F7"/>
    <w:rsid w:val="0069412D"/>
    <w:rsid w:val="00694B3E"/>
    <w:rsid w:val="0069663C"/>
    <w:rsid w:val="006B333E"/>
    <w:rsid w:val="00713F4C"/>
    <w:rsid w:val="00715490"/>
    <w:rsid w:val="007F004E"/>
    <w:rsid w:val="0080154D"/>
    <w:rsid w:val="008430DB"/>
    <w:rsid w:val="0085431D"/>
    <w:rsid w:val="008C47F6"/>
    <w:rsid w:val="008C62CD"/>
    <w:rsid w:val="008E0F58"/>
    <w:rsid w:val="00906481"/>
    <w:rsid w:val="00906601"/>
    <w:rsid w:val="00914F99"/>
    <w:rsid w:val="0092315A"/>
    <w:rsid w:val="00926FF3"/>
    <w:rsid w:val="00947C30"/>
    <w:rsid w:val="00953083"/>
    <w:rsid w:val="00956321"/>
    <w:rsid w:val="009B7F94"/>
    <w:rsid w:val="009D16BD"/>
    <w:rsid w:val="009F2537"/>
    <w:rsid w:val="00A218D4"/>
    <w:rsid w:val="00A42136"/>
    <w:rsid w:val="00A45723"/>
    <w:rsid w:val="00A52407"/>
    <w:rsid w:val="00A95179"/>
    <w:rsid w:val="00AB1FB8"/>
    <w:rsid w:val="00AF63AE"/>
    <w:rsid w:val="00B064B6"/>
    <w:rsid w:val="00B42807"/>
    <w:rsid w:val="00BC1E9B"/>
    <w:rsid w:val="00BD0505"/>
    <w:rsid w:val="00BE4467"/>
    <w:rsid w:val="00C859DC"/>
    <w:rsid w:val="00CA2146"/>
    <w:rsid w:val="00CB196D"/>
    <w:rsid w:val="00D06F6B"/>
    <w:rsid w:val="00D23A11"/>
    <w:rsid w:val="00D3552D"/>
    <w:rsid w:val="00D403A8"/>
    <w:rsid w:val="00D538E9"/>
    <w:rsid w:val="00D60AFA"/>
    <w:rsid w:val="00D610DE"/>
    <w:rsid w:val="00D645C8"/>
    <w:rsid w:val="00D932B8"/>
    <w:rsid w:val="00DB62E2"/>
    <w:rsid w:val="00DB63F4"/>
    <w:rsid w:val="00E24DCA"/>
    <w:rsid w:val="00E35729"/>
    <w:rsid w:val="00E44687"/>
    <w:rsid w:val="00E529E3"/>
    <w:rsid w:val="00E60043"/>
    <w:rsid w:val="00E95039"/>
    <w:rsid w:val="00EA4149"/>
    <w:rsid w:val="00EA4610"/>
    <w:rsid w:val="00F224D3"/>
    <w:rsid w:val="00F7293C"/>
    <w:rsid w:val="00FC0188"/>
    <w:rsid w:val="00FC3166"/>
    <w:rsid w:val="00FC6F7E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66AE-2590-49D6-A369-A0D8173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3</cp:revision>
  <cp:lastPrinted>2019-02-15T12:27:00Z</cp:lastPrinted>
  <dcterms:created xsi:type="dcterms:W3CDTF">2019-02-15T12:28:00Z</dcterms:created>
  <dcterms:modified xsi:type="dcterms:W3CDTF">2019-02-15T12:28:00Z</dcterms:modified>
</cp:coreProperties>
</file>